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E3" w:rsidRDefault="000E0D06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</w:rPr>
        <w:t>Статистика та економіка, аналіз</w:t>
      </w:r>
    </w:p>
    <w:p w:rsidR="00F17EE3" w:rsidRDefault="00F17E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3632;visibility:visible;mso-wrap-distance-left:0;mso-wrap-distance-right:0" from=".15pt,4.55pt" to="467.9pt,4.55pt" o:allowincell="f" strokeweight="1.5pt"/>
        </w:pict>
      </w:r>
    </w:p>
    <w:p w:rsidR="00F17EE3" w:rsidRDefault="00F17EE3">
      <w:pPr>
        <w:spacing w:line="33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17EE3" w:rsidRPr="000E0D06">
        <w:trPr>
          <w:trHeight w:val="233"/>
        </w:trPr>
        <w:tc>
          <w:tcPr>
            <w:tcW w:w="4680" w:type="dxa"/>
            <w:vAlign w:val="bottom"/>
          </w:tcPr>
          <w:p w:rsidR="00F17EE3" w:rsidRPr="000E0D06" w:rsidRDefault="000E0D06">
            <w:pPr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У 2013 р. розмі</w:t>
            </w: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р</w:t>
            </w:r>
            <w:proofErr w:type="gramEnd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 прямих іноземних інвестицій у роз-</w:t>
            </w:r>
          </w:p>
        </w:tc>
        <w:tc>
          <w:tcPr>
            <w:tcW w:w="4680" w:type="dxa"/>
            <w:vAlign w:val="bottom"/>
          </w:tcPr>
          <w:p w:rsidR="00F17EE3" w:rsidRPr="000E0D06" w:rsidRDefault="000E0D06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Статистичний аналіз є ключовим інструмен-</w:t>
            </w:r>
          </w:p>
        </w:tc>
      </w:tr>
      <w:tr w:rsidR="00F17EE3" w:rsidRPr="000E0D06">
        <w:trPr>
          <w:trHeight w:val="240"/>
        </w:trPr>
        <w:tc>
          <w:tcPr>
            <w:tcW w:w="4680" w:type="dxa"/>
            <w:vAlign w:val="bottom"/>
          </w:tcPr>
          <w:p w:rsidR="00F17EE3" w:rsidRPr="000E0D06" w:rsidRDefault="000E0D06">
            <w:pPr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рахунку на одну особу </w:t>
            </w: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становив</w:t>
            </w:r>
            <w:proofErr w:type="gramEnd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 1197,24 дол. США,</w:t>
            </w:r>
          </w:p>
        </w:tc>
        <w:tc>
          <w:tcPr>
            <w:tcW w:w="4680" w:type="dxa"/>
            <w:vAlign w:val="bottom"/>
          </w:tcPr>
          <w:p w:rsidR="00F17EE3" w:rsidRPr="000E0D06" w:rsidRDefault="000E0D06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том для оцінювання </w:t>
            </w: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соц</w:t>
            </w:r>
            <w:proofErr w:type="gramEnd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іально-економічного ста-</w:t>
            </w:r>
          </w:p>
        </w:tc>
      </w:tr>
      <w:tr w:rsidR="00F17EE3" w:rsidRPr="000E0D06">
        <w:trPr>
          <w:trHeight w:val="240"/>
        </w:trPr>
        <w:tc>
          <w:tcPr>
            <w:tcW w:w="4680" w:type="dxa"/>
            <w:vAlign w:val="bottom"/>
          </w:tcPr>
          <w:p w:rsidR="00F17EE3" w:rsidRPr="000E0D06" w:rsidRDefault="000E0D06">
            <w:pPr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що на 45% більше, ніж розмі</w:t>
            </w: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р</w:t>
            </w:r>
            <w:proofErr w:type="gramEnd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 зовнішнього боргу на</w:t>
            </w:r>
          </w:p>
        </w:tc>
        <w:tc>
          <w:tcPr>
            <w:tcW w:w="4680" w:type="dxa"/>
            <w:vAlign w:val="bottom"/>
          </w:tcPr>
          <w:p w:rsidR="00F17EE3" w:rsidRPr="000E0D06" w:rsidRDefault="000E0D06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ну</w:t>
            </w:r>
            <w:proofErr w:type="gramEnd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 та розвитку економіки країни, а також інфор-</w:t>
            </w:r>
          </w:p>
        </w:tc>
      </w:tr>
      <w:tr w:rsidR="00F17EE3" w:rsidRPr="000E0D06">
        <w:trPr>
          <w:trHeight w:val="240"/>
        </w:trPr>
        <w:tc>
          <w:tcPr>
            <w:tcW w:w="4680" w:type="dxa"/>
            <w:vAlign w:val="bottom"/>
          </w:tcPr>
          <w:p w:rsidR="00F17EE3" w:rsidRPr="000E0D06" w:rsidRDefault="000E0D06">
            <w:pPr>
              <w:rPr>
                <w:color w:val="FFFFFF" w:themeColor="background1"/>
                <w:sz w:val="20"/>
                <w:szCs w:val="20"/>
              </w:rPr>
            </w:pP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одну особу у 2013 р. (825,02 дол.</w:t>
            </w:r>
            <w:proofErr w:type="gramEnd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США).</w:t>
            </w:r>
            <w:proofErr w:type="gramEnd"/>
          </w:p>
        </w:tc>
        <w:tc>
          <w:tcPr>
            <w:tcW w:w="4680" w:type="dxa"/>
            <w:vAlign w:val="bottom"/>
          </w:tcPr>
          <w:p w:rsidR="00F17EE3" w:rsidRPr="000E0D06" w:rsidRDefault="000E0D06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маційним джерелом для прийняття оптимальних</w:t>
            </w:r>
          </w:p>
        </w:tc>
      </w:tr>
      <w:tr w:rsidR="00F17EE3" w:rsidRPr="000E0D06">
        <w:trPr>
          <w:trHeight w:val="240"/>
        </w:trPr>
        <w:tc>
          <w:tcPr>
            <w:tcW w:w="4680" w:type="dxa"/>
            <w:vAlign w:val="bottom"/>
          </w:tcPr>
          <w:p w:rsidR="00F17EE3" w:rsidRPr="000E0D06" w:rsidRDefault="000E0D06">
            <w:pPr>
              <w:ind w:left="340"/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Проведений аналіз </w:t>
            </w: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ідтвердив наслідки фінан-</w:t>
            </w:r>
          </w:p>
        </w:tc>
        <w:tc>
          <w:tcPr>
            <w:tcW w:w="4680" w:type="dxa"/>
            <w:vAlign w:val="bottom"/>
          </w:tcPr>
          <w:p w:rsidR="00F17EE3" w:rsidRPr="000E0D06" w:rsidRDefault="000E0D06">
            <w:pPr>
              <w:ind w:left="140"/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фінансово-економічних </w:t>
            </w: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р</w:t>
            </w:r>
            <w:proofErr w:type="gramEnd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ішень.</w:t>
            </w:r>
          </w:p>
        </w:tc>
      </w:tr>
      <w:tr w:rsidR="00F17EE3" w:rsidRPr="000E0D06">
        <w:trPr>
          <w:trHeight w:val="240"/>
        </w:trPr>
        <w:tc>
          <w:tcPr>
            <w:tcW w:w="4680" w:type="dxa"/>
            <w:vAlign w:val="bottom"/>
          </w:tcPr>
          <w:p w:rsidR="00F17EE3" w:rsidRPr="000E0D06" w:rsidRDefault="000E0D06">
            <w:pPr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сово-економічної кризи </w:t>
            </w: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2008 р., оскільки відносна</w:t>
            </w:r>
          </w:p>
        </w:tc>
        <w:tc>
          <w:tcPr>
            <w:tcW w:w="4680" w:type="dxa"/>
            <w:vAlign w:val="bottom"/>
          </w:tcPr>
          <w:p w:rsidR="00F17EE3" w:rsidRPr="000E0D06" w:rsidRDefault="000E0D06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Для України ключовою проблемою все ще </w:t>
            </w: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за</w:t>
            </w:r>
            <w:proofErr w:type="gramEnd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F17EE3" w:rsidRPr="000E0D06">
        <w:trPr>
          <w:trHeight w:val="240"/>
        </w:trPr>
        <w:tc>
          <w:tcPr>
            <w:tcW w:w="4680" w:type="dxa"/>
            <w:vAlign w:val="bottom"/>
          </w:tcPr>
          <w:p w:rsidR="00F17EE3" w:rsidRPr="000E0D06" w:rsidRDefault="000E0D06">
            <w:pPr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швидкість зростання зовнішнього боргу в розра-</w:t>
            </w:r>
          </w:p>
        </w:tc>
        <w:tc>
          <w:tcPr>
            <w:tcW w:w="4680" w:type="dxa"/>
            <w:vAlign w:val="bottom"/>
          </w:tcPr>
          <w:p w:rsidR="00F17EE3" w:rsidRPr="000E0D06" w:rsidRDefault="000E0D06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лишається низький </w:t>
            </w: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р</w:t>
            </w:r>
            <w:proofErr w:type="gramEnd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івень економічного розвит-</w:t>
            </w:r>
          </w:p>
        </w:tc>
      </w:tr>
      <w:tr w:rsidR="00F17EE3" w:rsidRPr="000E0D06">
        <w:trPr>
          <w:trHeight w:val="240"/>
        </w:trPr>
        <w:tc>
          <w:tcPr>
            <w:tcW w:w="4680" w:type="dxa"/>
            <w:vAlign w:val="bottom"/>
          </w:tcPr>
          <w:p w:rsidR="00F17EE3" w:rsidRPr="000E0D06" w:rsidRDefault="000E0D06">
            <w:pPr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хунку на одну особу у 2008–2009 рр. була значно</w:t>
            </w:r>
          </w:p>
        </w:tc>
        <w:tc>
          <w:tcPr>
            <w:tcW w:w="4680" w:type="dxa"/>
            <w:vAlign w:val="bottom"/>
          </w:tcPr>
          <w:p w:rsidR="00F17EE3" w:rsidRPr="000E0D06" w:rsidRDefault="000E0D06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ку, бідність населення, його </w:t>
            </w: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соц</w:t>
            </w:r>
            <w:proofErr w:type="gramEnd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іальна незах</w:t>
            </w: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ище-</w:t>
            </w:r>
          </w:p>
        </w:tc>
      </w:tr>
      <w:tr w:rsidR="00F17EE3" w:rsidRPr="000E0D06">
        <w:trPr>
          <w:trHeight w:val="240"/>
        </w:trPr>
        <w:tc>
          <w:tcPr>
            <w:tcW w:w="4680" w:type="dxa"/>
            <w:vAlign w:val="bottom"/>
          </w:tcPr>
          <w:p w:rsidR="00F17EE3" w:rsidRPr="000E0D06" w:rsidRDefault="000E0D06">
            <w:pPr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вище, ніж прирі</w:t>
            </w: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ст</w:t>
            </w:r>
            <w:proofErr w:type="gramEnd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 прямих іноземних інвестицій в</w:t>
            </w:r>
          </w:p>
        </w:tc>
        <w:tc>
          <w:tcPr>
            <w:tcW w:w="4680" w:type="dxa"/>
            <w:vAlign w:val="bottom"/>
          </w:tcPr>
          <w:p w:rsidR="00F17EE3" w:rsidRPr="000E0D06" w:rsidRDefault="000E0D06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ність, відсутність програм державної </w:t>
            </w: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ідтримки</w:t>
            </w:r>
          </w:p>
        </w:tc>
      </w:tr>
      <w:tr w:rsidR="00F17EE3" w:rsidRPr="000E0D06">
        <w:trPr>
          <w:trHeight w:val="240"/>
        </w:trPr>
        <w:tc>
          <w:tcPr>
            <w:tcW w:w="4680" w:type="dxa"/>
            <w:vAlign w:val="bottom"/>
          </w:tcPr>
          <w:p w:rsidR="00F17EE3" w:rsidRPr="000E0D06" w:rsidRDefault="000E0D06">
            <w:pPr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розрахунку на одну особу, зокрема, у 2008 р. – </w:t>
            </w: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680" w:type="dxa"/>
            <w:vAlign w:val="bottom"/>
          </w:tcPr>
          <w:p w:rsidR="00F17EE3" w:rsidRPr="000E0D06" w:rsidRDefault="000E0D06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молоді та молодих </w:t>
            </w: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сімей</w:t>
            </w:r>
            <w:proofErr w:type="gramEnd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 тощо. При цьому розмі</w:t>
            </w: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р</w:t>
            </w:r>
            <w:proofErr w:type="gramEnd"/>
          </w:p>
        </w:tc>
      </w:tr>
      <w:tr w:rsidR="00F17EE3" w:rsidRPr="000E0D06">
        <w:trPr>
          <w:trHeight w:val="240"/>
        </w:trPr>
        <w:tc>
          <w:tcPr>
            <w:tcW w:w="4680" w:type="dxa"/>
            <w:vAlign w:val="bottom"/>
          </w:tcPr>
          <w:p w:rsidR="00F17EE3" w:rsidRPr="000E0D06" w:rsidRDefault="000E0D06">
            <w:pPr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4,9%, у 2009 р. – на 9,4%, у 2011 р. – на 37,3%. Од-</w:t>
            </w:r>
          </w:p>
        </w:tc>
        <w:tc>
          <w:tcPr>
            <w:tcW w:w="4680" w:type="dxa"/>
            <w:vAlign w:val="bottom"/>
          </w:tcPr>
          <w:p w:rsidR="00F17EE3" w:rsidRPr="000E0D06" w:rsidRDefault="000E0D06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“боргової ями” в Україні значно більший, ніж її</w:t>
            </w:r>
          </w:p>
        </w:tc>
      </w:tr>
      <w:tr w:rsidR="00F17EE3" w:rsidRPr="000E0D06">
        <w:trPr>
          <w:trHeight w:val="240"/>
        </w:trPr>
        <w:tc>
          <w:tcPr>
            <w:tcW w:w="4680" w:type="dxa"/>
            <w:vAlign w:val="bottom"/>
          </w:tcPr>
          <w:p w:rsidR="00F17EE3" w:rsidRPr="000E0D06" w:rsidRDefault="000E0D06">
            <w:pPr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нак у 2012 р. інвестиційна привабливість України</w:t>
            </w:r>
          </w:p>
        </w:tc>
        <w:tc>
          <w:tcPr>
            <w:tcW w:w="4680" w:type="dxa"/>
            <w:vAlign w:val="bottom"/>
          </w:tcPr>
          <w:p w:rsidR="00F17EE3" w:rsidRPr="000E0D06" w:rsidRDefault="000E0D06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інвестиційна привабливість. В зовнішньоеконо-</w:t>
            </w:r>
          </w:p>
        </w:tc>
      </w:tr>
      <w:tr w:rsidR="00F17EE3" w:rsidRPr="000E0D06">
        <w:trPr>
          <w:trHeight w:val="240"/>
        </w:trPr>
        <w:tc>
          <w:tcPr>
            <w:tcW w:w="4680" w:type="dxa"/>
            <w:vAlign w:val="bottom"/>
          </w:tcPr>
          <w:p w:rsidR="00F17EE3" w:rsidRPr="000E0D06" w:rsidRDefault="000E0D06">
            <w:pPr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зроста</w:t>
            </w: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є:</w:t>
            </w:r>
            <w:proofErr w:type="gramEnd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 у цьому році коефіцієнт зростання пря-</w:t>
            </w:r>
          </w:p>
        </w:tc>
        <w:tc>
          <w:tcPr>
            <w:tcW w:w="4680" w:type="dxa"/>
            <w:vAlign w:val="bottom"/>
          </w:tcPr>
          <w:p w:rsidR="00F17EE3" w:rsidRPr="000E0D06" w:rsidRDefault="000E0D06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м</w:t>
            </w:r>
            <w:proofErr w:type="gramEnd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ічних відносинах України існує дисбаланс торго-</w:t>
            </w:r>
          </w:p>
        </w:tc>
      </w:tr>
      <w:tr w:rsidR="00F17EE3" w:rsidRPr="000E0D06">
        <w:trPr>
          <w:trHeight w:val="240"/>
        </w:trPr>
        <w:tc>
          <w:tcPr>
            <w:tcW w:w="4680" w:type="dxa"/>
            <w:vAlign w:val="bottom"/>
          </w:tcPr>
          <w:p w:rsidR="00F17EE3" w:rsidRPr="000E0D06" w:rsidRDefault="000E0D06">
            <w:pPr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мих іноземних</w:t>
            </w: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 інвестицій в Україну у розрахунку</w:t>
            </w:r>
          </w:p>
        </w:tc>
        <w:tc>
          <w:tcPr>
            <w:tcW w:w="4680" w:type="dxa"/>
            <w:vAlign w:val="bottom"/>
          </w:tcPr>
          <w:p w:rsidR="00F17EE3" w:rsidRPr="000E0D06" w:rsidRDefault="000E0D06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вельного обороту, внаслідок чого </w:t>
            </w: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нема</w:t>
            </w:r>
            <w:proofErr w:type="gramEnd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є надлишку</w:t>
            </w:r>
          </w:p>
        </w:tc>
      </w:tr>
      <w:tr w:rsidR="00F17EE3" w:rsidRPr="000E0D06">
        <w:trPr>
          <w:trHeight w:val="240"/>
        </w:trPr>
        <w:tc>
          <w:tcPr>
            <w:tcW w:w="4680" w:type="dxa"/>
            <w:vAlign w:val="bottom"/>
          </w:tcPr>
          <w:p w:rsidR="00F17EE3" w:rsidRPr="000E0D06" w:rsidRDefault="000E0D06">
            <w:pPr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на одну особу на 17,5% перевищував коефіцієнт</w:t>
            </w:r>
          </w:p>
        </w:tc>
        <w:tc>
          <w:tcPr>
            <w:tcW w:w="4680" w:type="dxa"/>
            <w:vAlign w:val="bottom"/>
          </w:tcPr>
          <w:p w:rsidR="00F17EE3" w:rsidRPr="000E0D06" w:rsidRDefault="000E0D06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іноземної валюти, а це ті потенційні кошти, </w:t>
            </w: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які б</w:t>
            </w:r>
            <w:proofErr w:type="gramEnd"/>
          </w:p>
        </w:tc>
      </w:tr>
      <w:tr w:rsidR="00F17EE3" w:rsidRPr="000E0D06">
        <w:trPr>
          <w:trHeight w:val="240"/>
        </w:trPr>
        <w:tc>
          <w:tcPr>
            <w:tcW w:w="4680" w:type="dxa"/>
            <w:vAlign w:val="bottom"/>
          </w:tcPr>
          <w:p w:rsidR="00F17EE3" w:rsidRPr="000E0D06" w:rsidRDefault="000E0D06">
            <w:pPr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зростання зовнішнього боргу у розрахунку </w:t>
            </w: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680" w:type="dxa"/>
            <w:vAlign w:val="bottom"/>
          </w:tcPr>
          <w:p w:rsidR="00F17EE3" w:rsidRPr="000E0D06" w:rsidRDefault="000E0D06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proofErr w:type="gramStart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могли або бути</w:t>
            </w:r>
            <w:proofErr w:type="gramEnd"/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 резервними </w:t>
            </w: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активами країни або</w:t>
            </w:r>
          </w:p>
        </w:tc>
      </w:tr>
      <w:tr w:rsidR="00F17EE3" w:rsidRPr="000E0D06">
        <w:trPr>
          <w:trHeight w:val="240"/>
        </w:trPr>
        <w:tc>
          <w:tcPr>
            <w:tcW w:w="4680" w:type="dxa"/>
            <w:vAlign w:val="bottom"/>
          </w:tcPr>
          <w:p w:rsidR="00F17EE3" w:rsidRPr="000E0D06" w:rsidRDefault="000E0D06">
            <w:pPr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одну особу, а у 2013 р. – на 5,2%.</w:t>
            </w:r>
          </w:p>
        </w:tc>
        <w:tc>
          <w:tcPr>
            <w:tcW w:w="4680" w:type="dxa"/>
            <w:vAlign w:val="bottom"/>
          </w:tcPr>
          <w:p w:rsidR="00F17EE3" w:rsidRPr="000E0D06" w:rsidRDefault="000E0D06">
            <w:pPr>
              <w:ind w:left="140"/>
              <w:rPr>
                <w:color w:val="FFFFFF" w:themeColor="background1"/>
                <w:sz w:val="20"/>
                <w:szCs w:val="20"/>
              </w:rPr>
            </w:pPr>
            <w:r w:rsidRPr="000E0D06">
              <w:rPr>
                <w:rFonts w:eastAsia="Times New Roman"/>
                <w:color w:val="FFFFFF" w:themeColor="background1"/>
                <w:sz w:val="20"/>
                <w:szCs w:val="20"/>
              </w:rPr>
              <w:t>спрямовуватись на погашення зовнішнього боргу.</w:t>
            </w:r>
          </w:p>
        </w:tc>
      </w:tr>
    </w:tbl>
    <w:p w:rsidR="00F17EE3" w:rsidRPr="000E0D06" w:rsidRDefault="00F17EE3">
      <w:pPr>
        <w:spacing w:line="175" w:lineRule="exact"/>
        <w:rPr>
          <w:color w:val="FFFFFF" w:themeColor="background1"/>
          <w:sz w:val="24"/>
          <w:szCs w:val="24"/>
        </w:rPr>
      </w:pPr>
    </w:p>
    <w:p w:rsidR="00F17EE3" w:rsidRPr="000E0D06" w:rsidRDefault="000E0D06">
      <w:pPr>
        <w:jc w:val="center"/>
        <w:rPr>
          <w:color w:val="FFFFFF" w:themeColor="background1"/>
          <w:sz w:val="20"/>
          <w:szCs w:val="20"/>
        </w:rPr>
      </w:pPr>
      <w:r w:rsidRPr="000E0D06">
        <w:rPr>
          <w:rFonts w:eastAsia="Times New Roman"/>
          <w:b/>
          <w:bCs/>
          <w:color w:val="FFFFFF" w:themeColor="background1"/>
          <w:sz w:val="18"/>
          <w:szCs w:val="18"/>
        </w:rPr>
        <w:t>Список використаних джерел</w:t>
      </w:r>
    </w:p>
    <w:p w:rsidR="00F17EE3" w:rsidRPr="000E0D06" w:rsidRDefault="00F17EE3">
      <w:pPr>
        <w:spacing w:line="124" w:lineRule="exact"/>
        <w:rPr>
          <w:color w:val="FFFFFF" w:themeColor="background1"/>
          <w:sz w:val="24"/>
          <w:szCs w:val="24"/>
        </w:rPr>
      </w:pPr>
    </w:p>
    <w:p w:rsidR="00F17EE3" w:rsidRPr="000E0D06" w:rsidRDefault="000E0D06">
      <w:pPr>
        <w:numPr>
          <w:ilvl w:val="0"/>
          <w:numId w:val="1"/>
        </w:numPr>
        <w:tabs>
          <w:tab w:val="left" w:pos="337"/>
        </w:tabs>
        <w:spacing w:line="278" w:lineRule="auto"/>
        <w:ind w:firstLine="4"/>
        <w:rPr>
          <w:rFonts w:eastAsia="Times New Roman"/>
          <w:color w:val="FFFFFF" w:themeColor="background1"/>
          <w:sz w:val="18"/>
          <w:szCs w:val="18"/>
        </w:rPr>
      </w:pPr>
      <w:r w:rsidRPr="000E0D06">
        <w:rPr>
          <w:rFonts w:eastAsia="Times New Roman"/>
          <w:color w:val="FFFFFF" w:themeColor="background1"/>
          <w:sz w:val="18"/>
          <w:szCs w:val="18"/>
        </w:rPr>
        <w:t>Основні показники соціально-економічного розвитку України [Електронний ресурс]: офіційний сайт</w:t>
      </w:r>
      <w:proofErr w:type="gramStart"/>
      <w:r w:rsidRPr="000E0D06">
        <w:rPr>
          <w:rFonts w:eastAsia="Times New Roman"/>
          <w:color w:val="FFFFFF" w:themeColor="background1"/>
          <w:sz w:val="18"/>
          <w:szCs w:val="18"/>
        </w:rPr>
        <w:t xml:space="preserve"> Д</w:t>
      </w:r>
      <w:proofErr w:type="gramEnd"/>
      <w:r w:rsidRPr="000E0D06">
        <w:rPr>
          <w:rFonts w:eastAsia="Times New Roman"/>
          <w:color w:val="FFFFFF" w:themeColor="background1"/>
          <w:sz w:val="18"/>
          <w:szCs w:val="18"/>
        </w:rPr>
        <w:t xml:space="preserve">ержавної служби статистики </w:t>
      </w:r>
      <w:r w:rsidRPr="000E0D06">
        <w:rPr>
          <w:rFonts w:eastAsia="Times New Roman"/>
          <w:color w:val="FFFFFF" w:themeColor="background1"/>
          <w:sz w:val="18"/>
          <w:szCs w:val="18"/>
        </w:rPr>
        <w:t>України. – Режим доступу:</w:t>
      </w:r>
    </w:p>
    <w:p w:rsidR="00F17EE3" w:rsidRPr="000E0D06" w:rsidRDefault="000E0D06">
      <w:pPr>
        <w:ind w:left="340"/>
        <w:rPr>
          <w:rFonts w:eastAsia="Times New Roman"/>
          <w:color w:val="FFFFFF" w:themeColor="background1"/>
          <w:sz w:val="18"/>
          <w:szCs w:val="18"/>
        </w:rPr>
      </w:pPr>
      <w:r w:rsidRPr="000E0D06">
        <w:rPr>
          <w:rFonts w:eastAsia="Times New Roman"/>
          <w:color w:val="FFFFFF" w:themeColor="background1"/>
          <w:sz w:val="18"/>
          <w:szCs w:val="18"/>
        </w:rPr>
        <w:t>http://ukrstat.gov.ua/</w:t>
      </w:r>
    </w:p>
    <w:p w:rsidR="00F17EE3" w:rsidRPr="000E0D06" w:rsidRDefault="00F17EE3">
      <w:pPr>
        <w:spacing w:line="32" w:lineRule="exact"/>
        <w:rPr>
          <w:rFonts w:eastAsia="Times New Roman"/>
          <w:color w:val="FFFFFF" w:themeColor="background1"/>
          <w:sz w:val="18"/>
          <w:szCs w:val="18"/>
        </w:rPr>
      </w:pPr>
    </w:p>
    <w:p w:rsidR="00F17EE3" w:rsidRPr="000E0D06" w:rsidRDefault="000E0D06">
      <w:pPr>
        <w:numPr>
          <w:ilvl w:val="0"/>
          <w:numId w:val="1"/>
        </w:numPr>
        <w:tabs>
          <w:tab w:val="left" w:pos="283"/>
        </w:tabs>
        <w:spacing w:line="278" w:lineRule="auto"/>
        <w:ind w:left="340" w:right="300" w:hanging="336"/>
        <w:rPr>
          <w:rFonts w:eastAsia="Times New Roman"/>
          <w:color w:val="FFFFFF" w:themeColor="background1"/>
          <w:sz w:val="18"/>
          <w:szCs w:val="18"/>
        </w:rPr>
      </w:pPr>
      <w:r w:rsidRPr="000E0D06">
        <w:rPr>
          <w:rFonts w:eastAsia="Times New Roman"/>
          <w:color w:val="FFFFFF" w:themeColor="background1"/>
          <w:sz w:val="18"/>
          <w:szCs w:val="18"/>
        </w:rPr>
        <w:t>Офіційний курс валют [Електронний ресурс]: офіційний сайт Національного банку України. – Режим доступу: http://www.bank.gov.ua/control/uk/curmetal/currency/search/form/period</w:t>
      </w:r>
    </w:p>
    <w:p w:rsidR="00F17EE3" w:rsidRPr="000E0D06" w:rsidRDefault="000E0D06">
      <w:pPr>
        <w:numPr>
          <w:ilvl w:val="0"/>
          <w:numId w:val="1"/>
        </w:numPr>
        <w:tabs>
          <w:tab w:val="left" w:pos="283"/>
        </w:tabs>
        <w:spacing w:line="278" w:lineRule="auto"/>
        <w:ind w:firstLine="4"/>
        <w:rPr>
          <w:rFonts w:eastAsia="Times New Roman"/>
          <w:color w:val="FFFFFF" w:themeColor="background1"/>
          <w:sz w:val="18"/>
          <w:szCs w:val="18"/>
        </w:rPr>
      </w:pPr>
      <w:r w:rsidRPr="000E0D06">
        <w:rPr>
          <w:rFonts w:eastAsia="Times New Roman"/>
          <w:color w:val="FFFFFF" w:themeColor="background1"/>
          <w:sz w:val="18"/>
          <w:szCs w:val="18"/>
        </w:rPr>
        <w:t>Статистичний щорічник України з</w:t>
      </w:r>
      <w:r w:rsidRPr="000E0D06">
        <w:rPr>
          <w:rFonts w:eastAsia="Times New Roman"/>
          <w:color w:val="FFFFFF" w:themeColor="background1"/>
          <w:sz w:val="18"/>
          <w:szCs w:val="18"/>
        </w:rPr>
        <w:t>а 2012 р. / за ред. О. Г. Осауленка; відпов. за вип. О. Е. Остапчук. – К.</w:t>
      </w:r>
      <w:proofErr w:type="gramStart"/>
      <w:r w:rsidRPr="000E0D06">
        <w:rPr>
          <w:rFonts w:eastAsia="Times New Roman"/>
          <w:color w:val="FFFFFF" w:themeColor="background1"/>
          <w:sz w:val="18"/>
          <w:szCs w:val="18"/>
        </w:rPr>
        <w:t xml:space="preserve"> :</w:t>
      </w:r>
      <w:proofErr w:type="gramEnd"/>
      <w:r w:rsidRPr="000E0D06">
        <w:rPr>
          <w:rFonts w:eastAsia="Times New Roman"/>
          <w:color w:val="FFFFFF" w:themeColor="background1"/>
          <w:sz w:val="18"/>
          <w:szCs w:val="18"/>
        </w:rPr>
        <w:t xml:space="preserve"> Держ­ аналітінформ, 2012. – 551 с.</w:t>
      </w:r>
    </w:p>
    <w:p w:rsidR="00F17EE3" w:rsidRPr="000E0D06" w:rsidRDefault="000E0D06">
      <w:pPr>
        <w:numPr>
          <w:ilvl w:val="0"/>
          <w:numId w:val="1"/>
        </w:numPr>
        <w:tabs>
          <w:tab w:val="left" w:pos="284"/>
        </w:tabs>
        <w:spacing w:line="278" w:lineRule="auto"/>
        <w:ind w:firstLine="4"/>
        <w:rPr>
          <w:rFonts w:eastAsia="Times New Roman"/>
          <w:color w:val="FFFFFF" w:themeColor="background1"/>
          <w:sz w:val="18"/>
          <w:szCs w:val="18"/>
        </w:rPr>
      </w:pPr>
      <w:r w:rsidRPr="000E0D06">
        <w:rPr>
          <w:rFonts w:eastAsia="Times New Roman"/>
          <w:color w:val="FFFFFF" w:themeColor="background1"/>
          <w:sz w:val="18"/>
          <w:szCs w:val="18"/>
        </w:rPr>
        <w:t>Є</w:t>
      </w:r>
      <w:proofErr w:type="gramStart"/>
      <w:r w:rsidRPr="000E0D06">
        <w:rPr>
          <w:rFonts w:eastAsia="Times New Roman"/>
          <w:color w:val="FFFFFF" w:themeColor="background1"/>
          <w:sz w:val="18"/>
          <w:szCs w:val="18"/>
        </w:rPr>
        <w:t>р</w:t>
      </w:r>
      <w:proofErr w:type="gramEnd"/>
      <w:r w:rsidRPr="000E0D06">
        <w:rPr>
          <w:rFonts w:eastAsia="Times New Roman"/>
          <w:color w:val="FFFFFF" w:themeColor="background1"/>
          <w:sz w:val="18"/>
          <w:szCs w:val="18"/>
        </w:rPr>
        <w:t xml:space="preserve">іна А. М. Економічна статистика : [практикум] / А. М. Єріна , О. К. Мазуренко , З. О. Пальян.– К. : </w:t>
      </w:r>
      <w:proofErr w:type="gramStart"/>
      <w:r w:rsidRPr="000E0D06">
        <w:rPr>
          <w:rFonts w:eastAsia="Times New Roman"/>
          <w:color w:val="FFFFFF" w:themeColor="background1"/>
          <w:sz w:val="18"/>
          <w:szCs w:val="18"/>
        </w:rPr>
        <w:t>ТОВ</w:t>
      </w:r>
      <w:proofErr w:type="gramEnd"/>
      <w:r w:rsidRPr="000E0D06">
        <w:rPr>
          <w:rFonts w:eastAsia="Times New Roman"/>
          <w:color w:val="FFFFFF" w:themeColor="background1"/>
          <w:sz w:val="18"/>
          <w:szCs w:val="18"/>
        </w:rPr>
        <w:t xml:space="preserve"> “УВПК ЕксОб”, 2002. – 232 с.</w:t>
      </w:r>
    </w:p>
    <w:p w:rsidR="00F17EE3" w:rsidRPr="000E0D06" w:rsidRDefault="000E0D06">
      <w:pPr>
        <w:numPr>
          <w:ilvl w:val="0"/>
          <w:numId w:val="1"/>
        </w:numPr>
        <w:tabs>
          <w:tab w:val="left" w:pos="283"/>
        </w:tabs>
        <w:spacing w:line="278" w:lineRule="auto"/>
        <w:ind w:left="340" w:hanging="336"/>
        <w:rPr>
          <w:rFonts w:eastAsia="Times New Roman"/>
          <w:color w:val="FFFFFF" w:themeColor="background1"/>
          <w:sz w:val="18"/>
          <w:szCs w:val="18"/>
        </w:rPr>
      </w:pPr>
      <w:r w:rsidRPr="000E0D06">
        <w:rPr>
          <w:rFonts w:eastAsia="Times New Roman"/>
          <w:color w:val="FFFFFF" w:themeColor="background1"/>
          <w:sz w:val="18"/>
          <w:szCs w:val="18"/>
        </w:rPr>
        <w:t xml:space="preserve">Державний </w:t>
      </w:r>
      <w:r w:rsidRPr="000E0D06">
        <w:rPr>
          <w:rFonts w:eastAsia="Times New Roman"/>
          <w:color w:val="FFFFFF" w:themeColor="background1"/>
          <w:sz w:val="18"/>
          <w:szCs w:val="18"/>
        </w:rPr>
        <w:t>борг [Електронний ресурс]: офіційний сайт Міністерства фінансів України. – Режим доступу: http://www.minfin.gov.ua/control/uk/archive/docview? typeId=33402&amp;search_param=%E4%E5%F0%E6%E0%E2% ED%E8%E9+%E1%EE%F0%E3&amp;searchDocarch=1&amp;searchPublishing=1</w:t>
      </w:r>
    </w:p>
    <w:p w:rsidR="00F17EE3" w:rsidRPr="000E0D06" w:rsidRDefault="000E0D06">
      <w:pPr>
        <w:numPr>
          <w:ilvl w:val="0"/>
          <w:numId w:val="1"/>
        </w:numPr>
        <w:tabs>
          <w:tab w:val="left" w:pos="283"/>
        </w:tabs>
        <w:spacing w:line="281" w:lineRule="auto"/>
        <w:ind w:left="340" w:right="2560" w:hanging="336"/>
        <w:rPr>
          <w:rFonts w:eastAsia="Times New Roman"/>
          <w:color w:val="FFFFFF" w:themeColor="background1"/>
          <w:sz w:val="18"/>
          <w:szCs w:val="18"/>
        </w:rPr>
      </w:pPr>
      <w:r w:rsidRPr="000E0D06">
        <w:rPr>
          <w:rFonts w:eastAsia="Times New Roman"/>
          <w:color w:val="FFFFFF" w:themeColor="background1"/>
          <w:sz w:val="18"/>
          <w:szCs w:val="18"/>
        </w:rPr>
        <w:t xml:space="preserve">Офіційний </w:t>
      </w:r>
      <w:r w:rsidRPr="000E0D06">
        <w:rPr>
          <w:rFonts w:eastAsia="Times New Roman"/>
          <w:color w:val="FFFFFF" w:themeColor="background1"/>
          <w:sz w:val="18"/>
          <w:szCs w:val="18"/>
        </w:rPr>
        <w:t>сайт Євростату. – Режим доступу: http://epp.eurostat.ec.europa.eu/portal/page/portal/publications/recently_published</w:t>
      </w:r>
    </w:p>
    <w:p w:rsidR="00F17EE3" w:rsidRDefault="00F17EE3">
      <w:pPr>
        <w:spacing w:line="200" w:lineRule="exact"/>
        <w:rPr>
          <w:sz w:val="24"/>
          <w:szCs w:val="24"/>
        </w:rPr>
      </w:pPr>
    </w:p>
    <w:p w:rsidR="00F17EE3" w:rsidRDefault="00F17EE3">
      <w:pPr>
        <w:spacing w:line="200" w:lineRule="exact"/>
        <w:rPr>
          <w:sz w:val="24"/>
          <w:szCs w:val="24"/>
        </w:rPr>
      </w:pPr>
    </w:p>
    <w:p w:rsidR="00F17EE3" w:rsidRDefault="00F17EE3">
      <w:pPr>
        <w:spacing w:line="297" w:lineRule="exact"/>
        <w:rPr>
          <w:sz w:val="24"/>
          <w:szCs w:val="24"/>
        </w:rPr>
      </w:pPr>
    </w:p>
    <w:p w:rsidR="00F17EE3" w:rsidRDefault="000E0D06">
      <w:pPr>
        <w:tabs>
          <w:tab w:val="left" w:pos="788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УДК 311:620:330.101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В. С. Михайлов,</w:t>
      </w:r>
    </w:p>
    <w:p w:rsidR="00F17EE3" w:rsidRDefault="00F17EE3">
      <w:pPr>
        <w:spacing w:line="29" w:lineRule="exact"/>
        <w:rPr>
          <w:sz w:val="24"/>
          <w:szCs w:val="24"/>
        </w:rPr>
      </w:pPr>
    </w:p>
    <w:p w:rsidR="00F17EE3" w:rsidRDefault="000E0D0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доктор економічних наук, професор,</w:t>
      </w:r>
    </w:p>
    <w:p w:rsidR="00F17EE3" w:rsidRDefault="00F17EE3">
      <w:pPr>
        <w:spacing w:line="33" w:lineRule="exact"/>
        <w:rPr>
          <w:sz w:val="24"/>
          <w:szCs w:val="24"/>
        </w:rPr>
      </w:pPr>
    </w:p>
    <w:p w:rsidR="00F17EE3" w:rsidRDefault="000E0D0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директор НДІ статистики НТК статистичних досліджень</w:t>
      </w:r>
    </w:p>
    <w:p w:rsidR="00F17EE3" w:rsidRDefault="00F17EE3">
      <w:pPr>
        <w:spacing w:line="33" w:lineRule="exact"/>
        <w:rPr>
          <w:sz w:val="24"/>
          <w:szCs w:val="24"/>
        </w:rPr>
      </w:pPr>
    </w:p>
    <w:p w:rsidR="00F17EE3" w:rsidRDefault="000E0D0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Л. Л.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Полтавець,</w:t>
      </w:r>
    </w:p>
    <w:p w:rsidR="00F17EE3" w:rsidRDefault="00F17EE3">
      <w:pPr>
        <w:spacing w:line="33" w:lineRule="exact"/>
        <w:rPr>
          <w:sz w:val="24"/>
          <w:szCs w:val="24"/>
        </w:rPr>
      </w:pPr>
    </w:p>
    <w:p w:rsidR="00F17EE3" w:rsidRDefault="000E0D0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головний спеціаліст-економіст</w:t>
      </w:r>
    </w:p>
    <w:p w:rsidR="00F17EE3" w:rsidRDefault="00F17EE3">
      <w:pPr>
        <w:spacing w:line="33" w:lineRule="exact"/>
        <w:rPr>
          <w:sz w:val="24"/>
          <w:szCs w:val="24"/>
        </w:rPr>
      </w:pPr>
    </w:p>
    <w:p w:rsidR="00F17EE3" w:rsidRDefault="000E0D0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відділу статистики у Кременчуцькому районі</w:t>
      </w:r>
    </w:p>
    <w:p w:rsidR="00F17EE3" w:rsidRDefault="00F17EE3">
      <w:pPr>
        <w:spacing w:line="196" w:lineRule="exact"/>
        <w:rPr>
          <w:sz w:val="24"/>
          <w:szCs w:val="24"/>
        </w:rPr>
      </w:pPr>
    </w:p>
    <w:p w:rsidR="00F17EE3" w:rsidRDefault="000E0D06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Підходи до статистичного прогнозування споживання</w:t>
      </w:r>
    </w:p>
    <w:p w:rsidR="00F17EE3" w:rsidRDefault="00F17EE3">
      <w:pPr>
        <w:spacing w:line="12" w:lineRule="exact"/>
        <w:rPr>
          <w:sz w:val="24"/>
          <w:szCs w:val="24"/>
        </w:rPr>
      </w:pPr>
    </w:p>
    <w:p w:rsidR="00F17EE3" w:rsidRDefault="000E0D06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енергетичних ресурсів</w:t>
      </w:r>
    </w:p>
    <w:p w:rsidR="00F17EE3" w:rsidRDefault="00F17EE3">
      <w:pPr>
        <w:spacing w:line="211" w:lineRule="exact"/>
        <w:rPr>
          <w:sz w:val="24"/>
          <w:szCs w:val="24"/>
        </w:rPr>
      </w:pPr>
    </w:p>
    <w:p w:rsidR="00F17EE3" w:rsidRDefault="000E0D06">
      <w:pPr>
        <w:numPr>
          <w:ilvl w:val="0"/>
          <w:numId w:val="2"/>
        </w:numPr>
        <w:tabs>
          <w:tab w:val="left" w:pos="527"/>
        </w:tabs>
        <w:spacing w:line="248" w:lineRule="auto"/>
        <w:ind w:firstLine="34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статті визначено основні методи і моделі статистичного прогнозування кінцевого споживання </w:t>
      </w:r>
      <w:r>
        <w:rPr>
          <w:rFonts w:eastAsia="Times New Roman"/>
          <w:sz w:val="20"/>
          <w:szCs w:val="20"/>
        </w:rPr>
        <w:t>енерге-тичних ресурсів. Обґрунтовано використання лінійної моделі при проведенні таких прогнозів. Подано ре-зультати прогнозних розрахунків споживання енергетичних ресурсів в Україні протягом 2013–2016 років.</w:t>
      </w:r>
    </w:p>
    <w:p w:rsidR="00F17EE3" w:rsidRDefault="00F17EE3">
      <w:pPr>
        <w:spacing w:line="2" w:lineRule="exact"/>
        <w:rPr>
          <w:rFonts w:eastAsia="Times New Roman"/>
          <w:sz w:val="20"/>
          <w:szCs w:val="20"/>
        </w:rPr>
      </w:pPr>
    </w:p>
    <w:p w:rsidR="00F17EE3" w:rsidRDefault="000E0D06">
      <w:pPr>
        <w:spacing w:line="258" w:lineRule="auto"/>
        <w:ind w:firstLine="34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Ключові слова: </w:t>
      </w:r>
      <w:r>
        <w:rPr>
          <w:rFonts w:eastAsia="Times New Roman"/>
          <w:i/>
          <w:iCs/>
          <w:sz w:val="20"/>
          <w:szCs w:val="20"/>
        </w:rPr>
        <w:t>статистичне прогнозування, кінц</w:t>
      </w:r>
      <w:r>
        <w:rPr>
          <w:rFonts w:eastAsia="Times New Roman"/>
          <w:i/>
          <w:iCs/>
          <w:sz w:val="20"/>
          <w:szCs w:val="20"/>
        </w:rPr>
        <w:t>еве споживання енергетичних ресурсів, лінійна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модель, короткостроковий період, енергетичний баланс.</w:t>
      </w:r>
    </w:p>
    <w:p w:rsidR="00F17EE3" w:rsidRDefault="00F17EE3">
      <w:pPr>
        <w:sectPr w:rsidR="00F17EE3">
          <w:pgSz w:w="11620" w:h="16441"/>
          <w:pgMar w:top="645" w:right="1302" w:bottom="296" w:left="960" w:header="0" w:footer="0" w:gutter="0"/>
          <w:cols w:space="720" w:equalWidth="0">
            <w:col w:w="9360"/>
          </w:cols>
        </w:sectPr>
      </w:pPr>
    </w:p>
    <w:p w:rsidR="00F17EE3" w:rsidRDefault="00F17EE3">
      <w:pPr>
        <w:spacing w:line="231" w:lineRule="exact"/>
        <w:rPr>
          <w:sz w:val="24"/>
          <w:szCs w:val="24"/>
        </w:rPr>
      </w:pPr>
    </w:p>
    <w:p w:rsidR="00F17EE3" w:rsidRDefault="000E0D06">
      <w:pPr>
        <w:spacing w:line="250" w:lineRule="auto"/>
        <w:ind w:firstLine="3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Однією із найважливіших і найскладніших проблем, що потребують негайного вирішення,</w:t>
      </w:r>
    </w:p>
    <w:p w:rsidR="00F17EE3" w:rsidRDefault="00F17EE3">
      <w:pPr>
        <w:spacing w:line="1" w:lineRule="exact"/>
        <w:rPr>
          <w:sz w:val="24"/>
          <w:szCs w:val="24"/>
        </w:rPr>
      </w:pPr>
    </w:p>
    <w:p w:rsidR="00F17EE3" w:rsidRDefault="000E0D06">
      <w:pPr>
        <w:numPr>
          <w:ilvl w:val="0"/>
          <w:numId w:val="3"/>
        </w:numPr>
        <w:tabs>
          <w:tab w:val="left" w:pos="236"/>
        </w:tabs>
        <w:spacing w:line="253" w:lineRule="auto"/>
        <w:ind w:firstLine="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проблема забезпечення економіки України енергети</w:t>
      </w:r>
      <w:r>
        <w:rPr>
          <w:rFonts w:eastAsia="Times New Roman"/>
          <w:sz w:val="20"/>
          <w:szCs w:val="20"/>
        </w:rPr>
        <w:t>чними ресурсами для задоволення по-</w:t>
      </w:r>
    </w:p>
    <w:p w:rsidR="00F17EE3" w:rsidRDefault="00F17E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656;visibility:visible;mso-wrap-distance-left:0;mso-wrap-distance-right:0" from=".15pt,11.3pt" to="51.2pt,11.3pt" o:allowincell="f" strokeweight=".5pt"/>
        </w:pict>
      </w:r>
    </w:p>
    <w:p w:rsidR="00F17EE3" w:rsidRDefault="00F17EE3">
      <w:pPr>
        <w:spacing w:line="271" w:lineRule="exact"/>
        <w:rPr>
          <w:sz w:val="24"/>
          <w:szCs w:val="24"/>
        </w:rPr>
      </w:pPr>
    </w:p>
    <w:p w:rsidR="00F17EE3" w:rsidRDefault="000E0D0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© В. С. Михайлов, Л. Л. Полтавець</w:t>
      </w:r>
    </w:p>
    <w:p w:rsidR="00F17EE3" w:rsidRDefault="000E0D0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17EE3" w:rsidRDefault="00F17EE3">
      <w:pPr>
        <w:spacing w:line="211" w:lineRule="exact"/>
        <w:rPr>
          <w:sz w:val="24"/>
          <w:szCs w:val="24"/>
        </w:rPr>
      </w:pPr>
    </w:p>
    <w:p w:rsidR="00F17EE3" w:rsidRDefault="000E0D06">
      <w:pPr>
        <w:spacing w:line="251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треб вітчизняних споживачів (як юридичних, так і фізичних осіб) у паливі та енергії. Розв’я-зання цієї задачі вимагає досконалого вивчен-ня ефективності використання енергетичaних </w:t>
      </w:r>
      <w:r>
        <w:rPr>
          <w:rFonts w:eastAsia="Times New Roman"/>
          <w:sz w:val="20"/>
          <w:szCs w:val="20"/>
        </w:rPr>
        <w:t>ресурсів та корект­ного науково обґрунтованого прогнозу обсягів їх постачання, перетворення,</w:t>
      </w:r>
    </w:p>
    <w:p w:rsidR="00F17EE3" w:rsidRDefault="00F17E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5680;visibility:visible;mso-wrap-distance-left:0;mso-wrap-distance-right:0" from="-240.8pt,5.85pt" to="226.9pt,5.85pt" o:allowincell="f" strokeweight="1.5pt"/>
        </w:pict>
      </w:r>
    </w:p>
    <w:p w:rsidR="00F17EE3" w:rsidRDefault="00F17EE3">
      <w:pPr>
        <w:spacing w:line="153" w:lineRule="exact"/>
        <w:rPr>
          <w:sz w:val="24"/>
          <w:szCs w:val="24"/>
        </w:rPr>
      </w:pPr>
    </w:p>
    <w:p w:rsidR="00F17EE3" w:rsidRDefault="00F17EE3">
      <w:pPr>
        <w:sectPr w:rsidR="00F17EE3">
          <w:type w:val="continuous"/>
          <w:pgSz w:w="11620" w:h="16441"/>
          <w:pgMar w:top="645" w:right="1302" w:bottom="296" w:left="960" w:header="0" w:footer="0" w:gutter="0"/>
          <w:cols w:num="2" w:space="720" w:equalWidth="0">
            <w:col w:w="4540" w:space="280"/>
            <w:col w:w="4540"/>
          </w:cols>
        </w:sectPr>
      </w:pPr>
    </w:p>
    <w:p w:rsidR="00F17EE3" w:rsidRDefault="000E0D06">
      <w:pPr>
        <w:tabs>
          <w:tab w:val="left" w:pos="27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20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СТАТИСТИКА УКРАЇНИ, 2014, № 1</w:t>
      </w:r>
    </w:p>
    <w:p w:rsidR="00F17EE3" w:rsidRDefault="00F17EE3">
      <w:pPr>
        <w:sectPr w:rsidR="00F17EE3">
          <w:type w:val="continuous"/>
          <w:pgSz w:w="11620" w:h="16441"/>
          <w:pgMar w:top="645" w:right="1302" w:bottom="296" w:left="960" w:header="0" w:footer="0" w:gutter="0"/>
          <w:cols w:space="720" w:equalWidth="0">
            <w:col w:w="9360"/>
          </w:cols>
        </w:sectPr>
      </w:pPr>
    </w:p>
    <w:p w:rsidR="00F17EE3" w:rsidRDefault="000E0D06">
      <w:pPr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</w:rPr>
        <w:lastRenderedPageBreak/>
        <w:t>Статистика та економіка, аналіз</w:t>
      </w:r>
    </w:p>
    <w:p w:rsidR="00F17EE3" w:rsidRDefault="00F17E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6704;visibility:visible;mso-wrap-distance-left:0;mso-wrap-distance-right:0" from=".15pt,4.55pt" to="467.9pt,4.55pt" o:allowincell="f" strokeweight="1.5pt"/>
        </w:pict>
      </w:r>
    </w:p>
    <w:p w:rsidR="00F17EE3" w:rsidRDefault="00F17EE3">
      <w:pPr>
        <w:sectPr w:rsidR="00F17EE3">
          <w:pgSz w:w="11620" w:h="16441"/>
          <w:pgMar w:top="645" w:right="962" w:bottom="296" w:left="1300" w:header="0" w:footer="0" w:gutter="0"/>
          <w:cols w:space="720" w:equalWidth="0">
            <w:col w:w="9360"/>
          </w:cols>
        </w:sectPr>
      </w:pPr>
    </w:p>
    <w:p w:rsidR="00F17EE3" w:rsidRDefault="00F17EE3">
      <w:pPr>
        <w:spacing w:line="352" w:lineRule="exact"/>
        <w:rPr>
          <w:sz w:val="20"/>
          <w:szCs w:val="20"/>
        </w:rPr>
      </w:pPr>
    </w:p>
    <w:p w:rsidR="00F17EE3" w:rsidRDefault="000E0D06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кінцевого </w:t>
      </w:r>
      <w:r>
        <w:rPr>
          <w:rFonts w:eastAsia="Times New Roman"/>
          <w:sz w:val="20"/>
          <w:szCs w:val="20"/>
        </w:rPr>
        <w:t>споживання, рівнів запасів на пер-спективу.</w:t>
      </w:r>
    </w:p>
    <w:p w:rsidR="00F17EE3" w:rsidRDefault="00F17EE3">
      <w:pPr>
        <w:spacing w:line="1" w:lineRule="exact"/>
        <w:rPr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Зазначимо, що станом на сьогодні при вивчен-ні економічних процесів значна увага приділяється проблемам, які пов’язані із передбаченням їх май-бутнього розвитку. Труднощі аналізу й прогнозу-вання економічних про</w:t>
      </w:r>
      <w:r>
        <w:rPr>
          <w:rFonts w:eastAsia="Times New Roman"/>
          <w:sz w:val="20"/>
          <w:szCs w:val="20"/>
        </w:rPr>
        <w:t>цесів та явищ пов‘язані на-самперед із особливостями економічних процесів як об‘єкта дослідження. Сучасні економічні явища характеризуються складною внутрішньою структу-рою взаємозв’язків між факторами, що визначають їх розвиток, структурою, яка з часом са</w:t>
      </w:r>
      <w:r>
        <w:rPr>
          <w:rFonts w:eastAsia="Times New Roman"/>
          <w:sz w:val="20"/>
          <w:szCs w:val="20"/>
        </w:rPr>
        <w:t>ма може іс-тотно змінюватися. Аналіз і прогнозування еконо-мічних явищ найчастіше доводиться здійснювати</w:t>
      </w:r>
    </w:p>
    <w:p w:rsidR="00F17EE3" w:rsidRDefault="00F17EE3">
      <w:pPr>
        <w:spacing w:line="5" w:lineRule="exact"/>
        <w:rPr>
          <w:sz w:val="20"/>
          <w:szCs w:val="20"/>
        </w:rPr>
      </w:pPr>
    </w:p>
    <w:p w:rsidR="00F17EE3" w:rsidRDefault="000E0D06">
      <w:pPr>
        <w:numPr>
          <w:ilvl w:val="0"/>
          <w:numId w:val="4"/>
        </w:numPr>
        <w:tabs>
          <w:tab w:val="left" w:pos="171"/>
        </w:tabs>
        <w:spacing w:line="250" w:lineRule="auto"/>
        <w:ind w:firstLine="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умовах апріорної інформаційної невизначеності, відсутності повних даних щодо їх важливих статис-тичних характеристик. До того ж, зазвичай маємо обмеже</w:t>
      </w:r>
      <w:r>
        <w:rPr>
          <w:rFonts w:eastAsia="Times New Roman"/>
          <w:sz w:val="20"/>
          <w:szCs w:val="20"/>
        </w:rPr>
        <w:t>ну кількість спостережень досліджуваного явища, а специфіка розвитку економіки не завж-ди дозволяє робити повторні спостереження. Крім того, наявність різноманітних випадкових факто-рів, які впливають на досліджуваний процес, також підсилює ступень невизна</w:t>
      </w:r>
      <w:r>
        <w:rPr>
          <w:rFonts w:eastAsia="Times New Roman"/>
          <w:sz w:val="20"/>
          <w:szCs w:val="20"/>
        </w:rPr>
        <w:t>ченості і неадекватності висновків щодо реального стану процесу, який про-гнозується на перспективу, особливо стосовно дов-готривалих тенденцій розвитку.</w:t>
      </w:r>
    </w:p>
    <w:p w:rsidR="00F17EE3" w:rsidRDefault="00F17EE3">
      <w:pPr>
        <w:spacing w:line="5" w:lineRule="exact"/>
        <w:rPr>
          <w:rFonts w:eastAsia="Times New Roman"/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Слід зазначити, що намагання знати про стан речей на майбутнє зародилися у людства ще за часів глибок</w:t>
      </w:r>
      <w:r>
        <w:rPr>
          <w:rFonts w:eastAsia="Times New Roman"/>
          <w:sz w:val="20"/>
          <w:szCs w:val="20"/>
        </w:rPr>
        <w:t>ої давнини. Проте лише приблизно у другій половині ХХ століття прогностика отрима-ла науково обґрунтований зміст завдяки розвитку відповідного математичного апарату і більш реа-лістичному розумінню природи самого прогнозу-вання. Дослідники вирізняють три о</w:t>
      </w:r>
      <w:r>
        <w:rPr>
          <w:rFonts w:eastAsia="Times New Roman"/>
          <w:sz w:val="20"/>
          <w:szCs w:val="20"/>
        </w:rPr>
        <w:t>сновні групи методів прогнозування: експертні оцінки, моделю-вання та статистичні методи екстраполяції тенден-цій. Крім того, існують різні варіації, комбінації та симбіози елементів із трьох зазначених основних груп, тому кількість назв способів прогнозув</w:t>
      </w:r>
      <w:r>
        <w:rPr>
          <w:rFonts w:eastAsia="Times New Roman"/>
          <w:sz w:val="20"/>
          <w:szCs w:val="20"/>
        </w:rPr>
        <w:t>ання в різних сферах розвитку економіки, технологій, еко-логічних процесів, політичних перспектив і соціуму</w:t>
      </w:r>
    </w:p>
    <w:p w:rsidR="00F17EE3" w:rsidRDefault="00F17EE3">
      <w:pPr>
        <w:spacing w:line="6" w:lineRule="exact"/>
        <w:rPr>
          <w:rFonts w:eastAsia="Times New Roman"/>
          <w:sz w:val="20"/>
          <w:szCs w:val="20"/>
        </w:rPr>
      </w:pPr>
    </w:p>
    <w:p w:rsidR="00F17EE3" w:rsidRDefault="000E0D06">
      <w:pPr>
        <w:numPr>
          <w:ilvl w:val="0"/>
          <w:numId w:val="4"/>
        </w:numPr>
        <w:tabs>
          <w:tab w:val="left" w:pos="146"/>
        </w:tabs>
        <w:spacing w:line="250" w:lineRule="auto"/>
        <w:ind w:firstLine="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цілому може сягати навіть десятків і сотень. Існу-ють відомі національні і міжнародні організації, які безпосередньо спеціалізуються на футурологіч</w:t>
      </w:r>
      <w:r>
        <w:rPr>
          <w:rFonts w:eastAsia="Times New Roman"/>
          <w:sz w:val="20"/>
          <w:szCs w:val="20"/>
        </w:rPr>
        <w:t>них дослідженнях різного рівня і спрямованості (на-приклад “Римський клуб”, R&amp;D Corp. тощо).</w:t>
      </w:r>
    </w:p>
    <w:p w:rsidR="00F17EE3" w:rsidRDefault="00F17EE3">
      <w:pPr>
        <w:spacing w:line="2" w:lineRule="exact"/>
        <w:rPr>
          <w:rFonts w:eastAsia="Times New Roman"/>
          <w:sz w:val="20"/>
          <w:szCs w:val="20"/>
        </w:rPr>
      </w:pPr>
    </w:p>
    <w:p w:rsidR="00F17EE3" w:rsidRDefault="000E0D06">
      <w:pPr>
        <w:numPr>
          <w:ilvl w:val="1"/>
          <w:numId w:val="4"/>
        </w:numPr>
        <w:tabs>
          <w:tab w:val="left" w:pos="580"/>
        </w:tabs>
        <w:ind w:left="580" w:hanging="2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цьому контексті статистична екстраполяція</w:t>
      </w:r>
    </w:p>
    <w:p w:rsidR="00F17EE3" w:rsidRDefault="00F17EE3">
      <w:pPr>
        <w:spacing w:line="10" w:lineRule="exact"/>
        <w:rPr>
          <w:rFonts w:eastAsia="Times New Roman"/>
          <w:sz w:val="20"/>
          <w:szCs w:val="20"/>
        </w:rPr>
      </w:pPr>
    </w:p>
    <w:p w:rsidR="00F17EE3" w:rsidRDefault="000E0D06">
      <w:pPr>
        <w:numPr>
          <w:ilvl w:val="0"/>
          <w:numId w:val="4"/>
        </w:numPr>
        <w:tabs>
          <w:tab w:val="left" w:pos="186"/>
        </w:tabs>
        <w:spacing w:line="250" w:lineRule="auto"/>
        <w:ind w:firstLine="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першу чергу означає поширення висновків, що стосуються тенденцій, які існували в минулому, на певний період упередження</w:t>
      </w:r>
      <w:r>
        <w:rPr>
          <w:rFonts w:eastAsia="Times New Roman"/>
          <w:sz w:val="20"/>
          <w:szCs w:val="20"/>
        </w:rPr>
        <w:t xml:space="preserve"> (період прогнозуван-ня). Загальна логіка статистичного прогнозування включає послідовну реалізацію таких етапів [1]:</w:t>
      </w:r>
    </w:p>
    <w:p w:rsidR="00F17EE3" w:rsidRDefault="00F17EE3">
      <w:pPr>
        <w:spacing w:line="2" w:lineRule="exact"/>
        <w:rPr>
          <w:rFonts w:eastAsia="Times New Roman"/>
          <w:sz w:val="20"/>
          <w:szCs w:val="20"/>
        </w:rPr>
      </w:pPr>
    </w:p>
    <w:p w:rsidR="00F17EE3" w:rsidRDefault="000E0D06">
      <w:pPr>
        <w:spacing w:line="250" w:lineRule="auto"/>
        <w:ind w:firstLine="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• характеристика цілей і задач прогнозування, вибір об’єкта;</w:t>
      </w:r>
    </w:p>
    <w:p w:rsidR="00F17EE3" w:rsidRDefault="000E0D06">
      <w:pPr>
        <w:ind w:left="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• оцінювання прогнозного фону;</w:t>
      </w:r>
    </w:p>
    <w:p w:rsidR="00F17EE3" w:rsidRDefault="00F17EE3">
      <w:pPr>
        <w:spacing w:line="10" w:lineRule="exact"/>
        <w:rPr>
          <w:rFonts w:eastAsia="Times New Roman"/>
          <w:sz w:val="20"/>
          <w:szCs w:val="20"/>
        </w:rPr>
      </w:pPr>
    </w:p>
    <w:p w:rsidR="00F17EE3" w:rsidRDefault="000E0D06">
      <w:pPr>
        <w:ind w:left="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• вибір методів і моделей прогнозування;</w:t>
      </w:r>
    </w:p>
    <w:p w:rsidR="00F17EE3" w:rsidRDefault="00F17EE3">
      <w:pPr>
        <w:spacing w:line="10" w:lineRule="exact"/>
        <w:rPr>
          <w:rFonts w:eastAsia="Times New Roman"/>
          <w:sz w:val="20"/>
          <w:szCs w:val="20"/>
        </w:rPr>
      </w:pPr>
    </w:p>
    <w:p w:rsidR="00F17EE3" w:rsidRDefault="000E0D06">
      <w:pPr>
        <w:ind w:left="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• </w:t>
      </w:r>
      <w:r>
        <w:rPr>
          <w:rFonts w:eastAsia="Times New Roman"/>
          <w:sz w:val="20"/>
          <w:szCs w:val="20"/>
        </w:rPr>
        <w:t>статистична формалізація моделі (моделей);</w:t>
      </w:r>
    </w:p>
    <w:p w:rsidR="00F17EE3" w:rsidRDefault="00F17EE3">
      <w:pPr>
        <w:spacing w:line="10" w:lineRule="exact"/>
        <w:rPr>
          <w:rFonts w:eastAsia="Times New Roman"/>
          <w:sz w:val="20"/>
          <w:szCs w:val="20"/>
        </w:rPr>
      </w:pPr>
    </w:p>
    <w:p w:rsidR="00F17EE3" w:rsidRDefault="000E0D06">
      <w:pPr>
        <w:ind w:left="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• безпосереднє розроблення прогнозу;</w:t>
      </w:r>
    </w:p>
    <w:p w:rsidR="00F17EE3" w:rsidRDefault="000E0D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7EE3" w:rsidRDefault="00F17EE3">
      <w:pPr>
        <w:spacing w:line="332" w:lineRule="exact"/>
        <w:rPr>
          <w:sz w:val="20"/>
          <w:szCs w:val="20"/>
        </w:rPr>
      </w:pPr>
    </w:p>
    <w:p w:rsidR="00F17EE3" w:rsidRDefault="000E0D06">
      <w:pPr>
        <w:numPr>
          <w:ilvl w:val="0"/>
          <w:numId w:val="5"/>
        </w:numPr>
        <w:tabs>
          <w:tab w:val="left" w:pos="580"/>
        </w:tabs>
        <w:ind w:left="580" w:hanging="23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інтерпретація результатів;</w:t>
      </w:r>
    </w:p>
    <w:p w:rsidR="00F17EE3" w:rsidRDefault="00F17EE3">
      <w:pPr>
        <w:spacing w:line="10" w:lineRule="exact"/>
        <w:rPr>
          <w:rFonts w:eastAsia="Times New Roman"/>
          <w:sz w:val="20"/>
          <w:szCs w:val="20"/>
        </w:rPr>
      </w:pPr>
    </w:p>
    <w:p w:rsidR="00F17EE3" w:rsidRDefault="000E0D06">
      <w:pPr>
        <w:numPr>
          <w:ilvl w:val="0"/>
          <w:numId w:val="5"/>
        </w:numPr>
        <w:tabs>
          <w:tab w:val="left" w:pos="567"/>
        </w:tabs>
        <w:spacing w:line="250" w:lineRule="auto"/>
        <w:ind w:firstLine="34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розроблення рекомендацій щодо прийняття управлінських рішень на основі отриманих даних.</w:t>
      </w:r>
    </w:p>
    <w:p w:rsidR="00F17EE3" w:rsidRDefault="000E0D06">
      <w:pPr>
        <w:spacing w:line="250" w:lineRule="auto"/>
        <w:ind w:firstLine="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Зауважимо також, що розроблення таких про-гнозів </w:t>
      </w:r>
      <w:r>
        <w:rPr>
          <w:rFonts w:eastAsia="Times New Roman"/>
          <w:sz w:val="20"/>
          <w:szCs w:val="20"/>
        </w:rPr>
        <w:t>стосовно енергетичних ресурсів повинно стати одним із головних інструментів у вирішен-ні задач, пов’язаних із надійним та безперебійним енергозабезпеченням на коротко-, середньо- та дов-гостроковий період. За їх допомогою визначаються потреба у паливі та е</w:t>
      </w:r>
      <w:r>
        <w:rPr>
          <w:rFonts w:eastAsia="Times New Roman"/>
          <w:sz w:val="20"/>
          <w:szCs w:val="20"/>
        </w:rPr>
        <w:t>нергії суб’єктів господарюван-ня, регіонів і країни в цілому, засади державної по-літики у енергетичній сфері; формуються основні положення енергетичної стратегії. Такі прогнози можуть використовуватися під час формування перспективних енергетичних балансі</w:t>
      </w:r>
      <w:r>
        <w:rPr>
          <w:rFonts w:eastAsia="Times New Roman"/>
          <w:sz w:val="20"/>
          <w:szCs w:val="20"/>
        </w:rPr>
        <w:t>в.</w:t>
      </w:r>
    </w:p>
    <w:p w:rsidR="00F17EE3" w:rsidRDefault="00F17EE3">
      <w:pPr>
        <w:spacing w:line="5" w:lineRule="exact"/>
        <w:rPr>
          <w:rFonts w:eastAsia="Times New Roman"/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Мета пропонованого дослідження полягає у створенні моделі, яка б дозволяла отримувати про-гнозні рівні кінцевого споживання енергетичних ресурсів за видами і основними споживачами, та проведенні на її основі відповідних розрахунків об-сягів енергоспожи</w:t>
      </w:r>
      <w:r>
        <w:rPr>
          <w:rFonts w:eastAsia="Times New Roman"/>
          <w:sz w:val="20"/>
          <w:szCs w:val="20"/>
        </w:rPr>
        <w:t>вання.</w:t>
      </w:r>
    </w:p>
    <w:p w:rsidR="00F17EE3" w:rsidRDefault="00F17EE3">
      <w:pPr>
        <w:spacing w:line="2" w:lineRule="exact"/>
        <w:rPr>
          <w:rFonts w:eastAsia="Times New Roman"/>
          <w:sz w:val="20"/>
          <w:szCs w:val="20"/>
        </w:rPr>
      </w:pPr>
    </w:p>
    <w:p w:rsidR="00F17EE3" w:rsidRDefault="000E0D06">
      <w:pPr>
        <w:spacing w:line="250" w:lineRule="auto"/>
        <w:ind w:firstLine="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Досягнення цієї мети передбачає роз’язання по-ставлених авторами задач:</w:t>
      </w:r>
    </w:p>
    <w:p w:rsidR="00F17EE3" w:rsidRDefault="00F17EE3">
      <w:pPr>
        <w:spacing w:line="1" w:lineRule="exact"/>
        <w:rPr>
          <w:sz w:val="20"/>
          <w:szCs w:val="20"/>
        </w:rPr>
      </w:pPr>
    </w:p>
    <w:p w:rsidR="00F17EE3" w:rsidRDefault="000E0D06">
      <w:pPr>
        <w:numPr>
          <w:ilvl w:val="0"/>
          <w:numId w:val="6"/>
        </w:numPr>
        <w:tabs>
          <w:tab w:val="left" w:pos="720"/>
        </w:tabs>
        <w:spacing w:line="250" w:lineRule="auto"/>
        <w:ind w:firstLine="34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побудова моделі кінцевого споживання енергетичних ресурсів на базі даних енергетичного балансу;</w:t>
      </w:r>
    </w:p>
    <w:p w:rsidR="00F17EE3" w:rsidRDefault="00F17EE3">
      <w:pPr>
        <w:spacing w:line="1" w:lineRule="exact"/>
        <w:rPr>
          <w:rFonts w:eastAsia="Times New Roman"/>
          <w:sz w:val="20"/>
          <w:szCs w:val="20"/>
        </w:rPr>
      </w:pPr>
    </w:p>
    <w:p w:rsidR="00F17EE3" w:rsidRDefault="000E0D06">
      <w:pPr>
        <w:numPr>
          <w:ilvl w:val="0"/>
          <w:numId w:val="6"/>
        </w:numPr>
        <w:tabs>
          <w:tab w:val="left" w:pos="720"/>
        </w:tabs>
        <w:spacing w:line="250" w:lineRule="auto"/>
        <w:ind w:firstLine="34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статистичне прогнозування обсягів кінце-вого споживання палива на основі побуд</w:t>
      </w:r>
      <w:r>
        <w:rPr>
          <w:rFonts w:eastAsia="Times New Roman"/>
          <w:sz w:val="20"/>
          <w:szCs w:val="20"/>
        </w:rPr>
        <w:t>ованої мо-делі.</w:t>
      </w:r>
    </w:p>
    <w:p w:rsidR="00F17EE3" w:rsidRDefault="00F17EE3">
      <w:pPr>
        <w:spacing w:line="1" w:lineRule="exact"/>
        <w:rPr>
          <w:rFonts w:eastAsia="Times New Roman"/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Аналіз наукової літератури свідчить, що, зокре-ма, у роботах Геєця В. М., Кононова Ю. В., Криво-руцького Л. Д., Макарова О. О., Мелентьєва Л. О., Некрасова О. С., Яременка Ю. В. подальшого роз-витку набули теоретичні та практичні передумов</w:t>
      </w:r>
      <w:r>
        <w:rPr>
          <w:rFonts w:eastAsia="Times New Roman"/>
          <w:sz w:val="20"/>
          <w:szCs w:val="20"/>
        </w:rPr>
        <w:t>и системного аналізу розвитку економіки, енергетич-ної сфери, напрямів підвищення ефективності ви-користання енергетичних ресурсів та ін.</w:t>
      </w:r>
    </w:p>
    <w:p w:rsidR="00F17EE3" w:rsidRDefault="00F17EE3">
      <w:pPr>
        <w:spacing w:line="3" w:lineRule="exact"/>
        <w:rPr>
          <w:rFonts w:eastAsia="Times New Roman"/>
          <w:sz w:val="20"/>
          <w:szCs w:val="20"/>
        </w:rPr>
      </w:pPr>
    </w:p>
    <w:p w:rsidR="00F17EE3" w:rsidRDefault="000E0D06">
      <w:pPr>
        <w:spacing w:line="250" w:lineRule="auto"/>
        <w:ind w:firstLine="34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Методологічні підходи та методичні засади прогнозування рівнів постачання та споживання енергетичних ресурсів започат</w:t>
      </w:r>
      <w:r>
        <w:rPr>
          <w:rFonts w:eastAsia="Times New Roman"/>
          <w:sz w:val="20"/>
          <w:szCs w:val="20"/>
        </w:rPr>
        <w:t>ковано в роботах вітчизняних вчених Івахненка О. Г., Гнідого М. В., Костюковського Б. А. [4], Кулика М. М., Маля-ренка О. Є. [6], Праховника А. В., Рубана-Мак-симця О. О. [8]. Так, Маляренко О. Є. у своєму дослідженні [6] розглядає метод споживання енер-ге</w:t>
      </w:r>
      <w:r>
        <w:rPr>
          <w:rFonts w:eastAsia="Times New Roman"/>
          <w:sz w:val="20"/>
          <w:szCs w:val="20"/>
        </w:rPr>
        <w:t>тичних ресурсів з урахуванням цінового факто-ра. У роботі [8] окреслено загальні принципи опти-мізаційних моделей визначення перспективної потреби в енергоресурсах на базі міжгалузевих та енергетичних балансів з урахуванням екологічних обмежень.</w:t>
      </w:r>
    </w:p>
    <w:p w:rsidR="00F17EE3" w:rsidRDefault="00F17EE3">
      <w:pPr>
        <w:spacing w:line="6" w:lineRule="exact"/>
        <w:rPr>
          <w:rFonts w:eastAsia="Times New Roman"/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Слід тако</w:t>
      </w:r>
      <w:r>
        <w:rPr>
          <w:rFonts w:eastAsia="Times New Roman"/>
          <w:sz w:val="20"/>
          <w:szCs w:val="20"/>
        </w:rPr>
        <w:t xml:space="preserve">ж зазначити, що існує ціла низка методів статистичного прогнозування починаю-чи від простих, на перший погляд, лінійних мо-делей до більш складних математичних побудов, які пов’язані із використанням багатьох змінних, кривих різного порядку, різноманітних </w:t>
      </w:r>
      <w:r>
        <w:rPr>
          <w:rFonts w:eastAsia="Times New Roman"/>
          <w:sz w:val="20"/>
          <w:szCs w:val="20"/>
        </w:rPr>
        <w:t>критеріїв оцінювання адекватності (верифікації) моделей,</w:t>
      </w:r>
    </w:p>
    <w:p w:rsidR="00F17EE3" w:rsidRDefault="00F17E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7728;visibility:visible;mso-wrap-distance-left:0;mso-wrap-distance-right:0" from="-240.8pt,6.2pt" to="226.9pt,6.2pt" o:allowincell="f" strokeweight="1.5pt"/>
        </w:pict>
      </w:r>
    </w:p>
    <w:p w:rsidR="00F17EE3" w:rsidRDefault="00F17EE3">
      <w:pPr>
        <w:spacing w:line="160" w:lineRule="exact"/>
        <w:rPr>
          <w:sz w:val="20"/>
          <w:szCs w:val="20"/>
        </w:rPr>
      </w:pPr>
    </w:p>
    <w:p w:rsidR="00F17EE3" w:rsidRDefault="00F17EE3">
      <w:pPr>
        <w:sectPr w:rsidR="00F17EE3">
          <w:type w:val="continuous"/>
          <w:pgSz w:w="11620" w:h="16441"/>
          <w:pgMar w:top="645" w:right="962" w:bottom="296" w:left="1300" w:header="0" w:footer="0" w:gutter="0"/>
          <w:cols w:num="2" w:space="720" w:equalWidth="0">
            <w:col w:w="4540" w:space="280"/>
            <w:col w:w="4540"/>
          </w:cols>
        </w:sectPr>
      </w:pPr>
    </w:p>
    <w:p w:rsidR="00F17EE3" w:rsidRDefault="000E0D06">
      <w:pPr>
        <w:tabs>
          <w:tab w:val="left" w:pos="9060"/>
        </w:tabs>
        <w:ind w:left="27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СТАТИСТИКА УКРАЇНИ, 2014, № 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21</w:t>
      </w:r>
    </w:p>
    <w:p w:rsidR="00F17EE3" w:rsidRDefault="00F17EE3">
      <w:pPr>
        <w:sectPr w:rsidR="00F17EE3">
          <w:type w:val="continuous"/>
          <w:pgSz w:w="11620" w:h="16441"/>
          <w:pgMar w:top="645" w:right="962" w:bottom="296" w:left="1300" w:header="0" w:footer="0" w:gutter="0"/>
          <w:cols w:space="720" w:equalWidth="0">
            <w:col w:w="9360"/>
          </w:cols>
        </w:sectPr>
      </w:pPr>
    </w:p>
    <w:p w:rsidR="00F17EE3" w:rsidRDefault="000E0D06">
      <w:pPr>
        <w:jc w:val="center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</w:rPr>
        <w:lastRenderedPageBreak/>
        <w:t>Статистика та економіка, аналіз</w:t>
      </w:r>
    </w:p>
    <w:p w:rsidR="00F17EE3" w:rsidRDefault="00F17E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8752;visibility:visible;mso-wrap-distance-left:0;mso-wrap-distance-right:0" from=".15pt,4.55pt" to="467.9pt,4.55pt" o:allowincell="f" strokeweight="1.5pt"/>
        </w:pict>
      </w:r>
    </w:p>
    <w:p w:rsidR="00F17EE3" w:rsidRDefault="00F17EE3">
      <w:pPr>
        <w:sectPr w:rsidR="00F17EE3">
          <w:pgSz w:w="11620" w:h="16441"/>
          <w:pgMar w:top="645" w:right="1302" w:bottom="296" w:left="960" w:header="0" w:footer="0" w:gutter="0"/>
          <w:cols w:space="720" w:equalWidth="0">
            <w:col w:w="9360"/>
          </w:cols>
        </w:sectPr>
      </w:pPr>
    </w:p>
    <w:p w:rsidR="00F17EE3" w:rsidRDefault="00F17EE3">
      <w:pPr>
        <w:spacing w:line="352" w:lineRule="exact"/>
        <w:rPr>
          <w:sz w:val="20"/>
          <w:szCs w:val="20"/>
        </w:rPr>
      </w:pPr>
    </w:p>
    <w:p w:rsidR="00F17EE3" w:rsidRDefault="000E0D06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комбінуванням різних формально-математичних методів</w:t>
      </w:r>
      <w:r>
        <w:rPr>
          <w:rFonts w:eastAsia="Times New Roman"/>
          <w:sz w:val="20"/>
          <w:szCs w:val="20"/>
        </w:rPr>
        <w:t xml:space="preserve"> статистичного прогнозування, побудовою цілих систем прогнозних моделей тощо. Але із ускладненням формалізованого опису економіч-ного процесу окрім суто математичної інтерпрета-ції отриманих результатів значно ускладнюється їх економічно-змістовна інтерпре</w:t>
      </w:r>
      <w:r>
        <w:rPr>
          <w:rFonts w:eastAsia="Times New Roman"/>
          <w:sz w:val="20"/>
          <w:szCs w:val="20"/>
        </w:rPr>
        <w:t>тація. Нагада-ємо, що найбільш суттєві економічні результати (наприклад, виробничі функції Кобба–Дугла-са чи Соллоу, економічні побудови Маркса або Кейнса) були отримані за допомогою достатньо простих математичних (арифметичних) формул. Крім того, якщо пер</w:t>
      </w:r>
      <w:r>
        <w:rPr>
          <w:rFonts w:eastAsia="Times New Roman"/>
          <w:sz w:val="20"/>
          <w:szCs w:val="20"/>
        </w:rPr>
        <w:t>іод статистичного прогнозу-вання є відносно короткотривалим, існує суттєва імовірність того, що тенденція ретроспективного періоду збережеться й на період прогнозування того чи іншого статистичного показника (за інших рівних умов, тобто за відсутності неоч</w:t>
      </w:r>
      <w:r>
        <w:rPr>
          <w:rFonts w:eastAsia="Times New Roman"/>
          <w:sz w:val="20"/>
          <w:szCs w:val="20"/>
        </w:rPr>
        <w:t>ікуваних, форс-мажорних обставин). Це також певною мі-рою обґрунтовує використання у нашому випадку саме лінійної моделі для короткострокового про-гнозування споживання енергетичних ресурсів в Україні.</w:t>
      </w:r>
    </w:p>
    <w:p w:rsidR="00F17EE3" w:rsidRDefault="00F17EE3">
      <w:pPr>
        <w:spacing w:line="10" w:lineRule="exact"/>
        <w:rPr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Наведено базову модель прогнозування попиту на енерге</w:t>
      </w:r>
      <w:r>
        <w:rPr>
          <w:rFonts w:eastAsia="Times New Roman"/>
          <w:sz w:val="20"/>
          <w:szCs w:val="20"/>
        </w:rPr>
        <w:t>тичні ресурси. Для прогнозування обся-гів кінцевого споживання енергетичних ресурсів авторами статті запропоновано використовувати модель лінійної регресії. Оскільки період прогнозу-вання є короткотерміновим, тенденція варіації по-казників не змінюється, і</w:t>
      </w:r>
      <w:r>
        <w:rPr>
          <w:rFonts w:eastAsia="Times New Roman"/>
          <w:sz w:val="20"/>
          <w:szCs w:val="20"/>
        </w:rPr>
        <w:t xml:space="preserve"> тому доцільно проводити наші розрахунки з використанням парної лінійної регресії.</w:t>
      </w:r>
    </w:p>
    <w:p w:rsidR="00F17EE3" w:rsidRDefault="00F17EE3">
      <w:pPr>
        <w:spacing w:line="4" w:lineRule="exact"/>
        <w:rPr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Зазначимо, що методи кореляційного та регре-сійного аналізу використовуються для вивчення форми зв’язку між показником і факторами на ос-нові статистичних даних. На підстав</w:t>
      </w:r>
      <w:r>
        <w:rPr>
          <w:rFonts w:eastAsia="Times New Roman"/>
          <w:sz w:val="20"/>
          <w:szCs w:val="20"/>
        </w:rPr>
        <w:t>і проведеного аналізу коефіцієнта детермінації R2 та значимості коефіцієнтів лінійної регресії за критерієм Ст’ю-дента, а також враховуючи малий обсяг вибірки можна вважати, що модель лінійної регресії адек-</w:t>
      </w:r>
    </w:p>
    <w:p w:rsidR="00F17EE3" w:rsidRDefault="000E0D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7EE3" w:rsidRDefault="00F17EE3">
      <w:pPr>
        <w:spacing w:line="332" w:lineRule="exact"/>
        <w:rPr>
          <w:sz w:val="20"/>
          <w:szCs w:val="20"/>
        </w:rPr>
      </w:pPr>
    </w:p>
    <w:p w:rsidR="00F17EE3" w:rsidRDefault="000E0D06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ватно апроксимує вихідні дані (споживання ене</w:t>
      </w:r>
      <w:r>
        <w:rPr>
          <w:rFonts w:eastAsia="Times New Roman"/>
          <w:sz w:val="20"/>
          <w:szCs w:val="20"/>
        </w:rPr>
        <w:t>р-гетичних ресурсів), може бути використана для їх прогнозування, і немає підстав для вибору більш складної регресійної моделі.</w:t>
      </w:r>
    </w:p>
    <w:p w:rsidR="00F17EE3" w:rsidRDefault="00F17EE3">
      <w:pPr>
        <w:spacing w:line="2" w:lineRule="exact"/>
        <w:rPr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Як відомо, парною лінійною регресією “y” на “x” називається одностороння стохастична лінійна за-лежність між випадковими величи</w:t>
      </w:r>
      <w:r>
        <w:rPr>
          <w:rFonts w:eastAsia="Times New Roman"/>
          <w:sz w:val="20"/>
          <w:szCs w:val="20"/>
        </w:rPr>
        <w:t>нами показника “y” і фактора “x”, які знаходяться в причинно-на-слідкових зв’язках, причому зміна фактора спричи-няє зміну показника.</w:t>
      </w:r>
    </w:p>
    <w:p w:rsidR="00F17EE3" w:rsidRDefault="00F17EE3">
      <w:pPr>
        <w:spacing w:line="3" w:lineRule="exact"/>
        <w:rPr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Статистичні розрахунки виконано з викорис-танням ліцензійного пакету прикладних програм статистичного аналізу даних STATI</w:t>
      </w:r>
      <w:r>
        <w:rPr>
          <w:rFonts w:eastAsia="Times New Roman"/>
          <w:sz w:val="20"/>
          <w:szCs w:val="20"/>
        </w:rPr>
        <w:t>STICA ver. 6.0.</w:t>
      </w:r>
    </w:p>
    <w:p w:rsidR="00F17EE3" w:rsidRDefault="00F17EE3">
      <w:pPr>
        <w:spacing w:line="1" w:lineRule="exact"/>
        <w:rPr>
          <w:sz w:val="20"/>
          <w:szCs w:val="20"/>
        </w:rPr>
      </w:pPr>
    </w:p>
    <w:p w:rsidR="00F17EE3" w:rsidRDefault="000E0D06">
      <w:pPr>
        <w:numPr>
          <w:ilvl w:val="0"/>
          <w:numId w:val="7"/>
        </w:numPr>
        <w:tabs>
          <w:tab w:val="left" w:pos="538"/>
        </w:tabs>
        <w:spacing w:line="250" w:lineRule="auto"/>
        <w:ind w:firstLine="34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табл.1 наведені значення споживання енерге-тичних ресурсів (тис. тон нафтового еквіваленту) за галузями в період з 2000 р. по 2011 р.</w:t>
      </w:r>
    </w:p>
    <w:p w:rsidR="00F17EE3" w:rsidRDefault="00F17EE3">
      <w:pPr>
        <w:spacing w:line="1" w:lineRule="exact"/>
        <w:rPr>
          <w:rFonts w:eastAsia="Times New Roman"/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Побудуємо регресійну модель для такого показ-ника як кінцеве споживання енергетичних ресурсів.</w:t>
      </w:r>
    </w:p>
    <w:p w:rsidR="00F17EE3" w:rsidRDefault="000E0D06">
      <w:pPr>
        <w:spacing w:line="253" w:lineRule="auto"/>
        <w:ind w:firstLine="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Проаналізуємо детальніше лінійну модель. За-гальний вигляд лінійної моделі:</w:t>
      </w:r>
    </w:p>
    <w:p w:rsidR="00F17EE3" w:rsidRDefault="00F17EE3">
      <w:pPr>
        <w:spacing w:line="39" w:lineRule="exact"/>
        <w:rPr>
          <w:sz w:val="20"/>
          <w:szCs w:val="20"/>
        </w:rPr>
      </w:pPr>
    </w:p>
    <w:p w:rsidR="00F17EE3" w:rsidRDefault="000E0D06">
      <w:pPr>
        <w:numPr>
          <w:ilvl w:val="1"/>
          <w:numId w:val="8"/>
        </w:numPr>
        <w:tabs>
          <w:tab w:val="left" w:pos="1820"/>
        </w:tabs>
        <w:spacing w:line="335" w:lineRule="exact"/>
        <w:ind w:left="1820" w:hanging="178"/>
        <w:rPr>
          <w:rFonts w:eastAsia="Times New Roman"/>
          <w:i/>
          <w:iCs/>
          <w:sz w:val="25"/>
          <w:szCs w:val="25"/>
        </w:rPr>
      </w:pPr>
      <w:r>
        <w:rPr>
          <w:rFonts w:ascii="Symbol" w:eastAsia="Symbol" w:hAnsi="Symbol" w:cs="Symbol"/>
          <w:sz w:val="25"/>
          <w:szCs w:val="25"/>
        </w:rPr>
        <w:t></w:t>
      </w:r>
      <w:r>
        <w:rPr>
          <w:rFonts w:eastAsia="Times New Roman"/>
          <w:i/>
          <w:iCs/>
          <w:sz w:val="25"/>
          <w:szCs w:val="25"/>
        </w:rPr>
        <w:t xml:space="preserve"> a </w:t>
      </w:r>
      <w:r>
        <w:rPr>
          <w:rFonts w:ascii="Symbol" w:eastAsia="Symbol" w:hAnsi="Symbol" w:cs="Symbol"/>
          <w:sz w:val="25"/>
          <w:szCs w:val="25"/>
        </w:rPr>
        <w:t></w:t>
      </w:r>
      <w:r>
        <w:rPr>
          <w:rFonts w:eastAsia="Times New Roman"/>
          <w:i/>
          <w:iCs/>
          <w:sz w:val="25"/>
          <w:szCs w:val="25"/>
        </w:rPr>
        <w:t xml:space="preserve"> b </w:t>
      </w:r>
      <w:r>
        <w:rPr>
          <w:rFonts w:ascii="Arial Unicode MS" w:eastAsia="Arial Unicode MS" w:hAnsi="Arial Unicode MS" w:cs="Arial Unicode MS"/>
          <w:sz w:val="25"/>
          <w:szCs w:val="25"/>
        </w:rPr>
        <w:t>⋅</w:t>
      </w:r>
      <w:r>
        <w:rPr>
          <w:rFonts w:eastAsia="Times New Roman"/>
          <w:i/>
          <w:iCs/>
          <w:sz w:val="25"/>
          <w:szCs w:val="25"/>
        </w:rPr>
        <w:t xml:space="preserve"> x</w:t>
      </w:r>
      <w:r>
        <w:rPr>
          <w:rFonts w:eastAsia="Times New Roman"/>
          <w:sz w:val="25"/>
          <w:szCs w:val="25"/>
        </w:rPr>
        <w:t>1.</w:t>
      </w:r>
    </w:p>
    <w:p w:rsidR="00F17EE3" w:rsidRDefault="00F17EE3">
      <w:pPr>
        <w:spacing w:line="100" w:lineRule="exact"/>
        <w:rPr>
          <w:rFonts w:eastAsia="Times New Roman"/>
          <w:i/>
          <w:iCs/>
          <w:sz w:val="25"/>
          <w:szCs w:val="25"/>
        </w:rPr>
      </w:pPr>
    </w:p>
    <w:p w:rsidR="00F17EE3" w:rsidRDefault="000E0D06">
      <w:pPr>
        <w:numPr>
          <w:ilvl w:val="0"/>
          <w:numId w:val="8"/>
        </w:numPr>
        <w:tabs>
          <w:tab w:val="left" w:pos="547"/>
        </w:tabs>
        <w:spacing w:line="250" w:lineRule="auto"/>
        <w:ind w:firstLine="34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табл. 2 і табл. 3 наведено, відповідно, резуль-тати тестів перевірки статистичних гіпотез щодо значущості МНК-оцінок (метод найменших ква-дратів) коефіцієнтів </w:t>
      </w:r>
      <w:r>
        <w:rPr>
          <w:rFonts w:eastAsia="Times New Roman"/>
          <w:sz w:val="20"/>
          <w:szCs w:val="20"/>
        </w:rPr>
        <w:t>регресії за критерієм Ст’юден-та (t–критерій) і значущості коефіцієнта детермі-нації R</w:t>
      </w:r>
      <w:r>
        <w:rPr>
          <w:rFonts w:eastAsia="Times New Roman"/>
          <w:sz w:val="11"/>
          <w:szCs w:val="11"/>
        </w:rPr>
        <w:t>2</w:t>
      </w:r>
      <w:r>
        <w:rPr>
          <w:rFonts w:eastAsia="Times New Roman"/>
          <w:sz w:val="20"/>
          <w:szCs w:val="20"/>
        </w:rPr>
        <w:t xml:space="preserve"> лінійної моделі за критерієм Фішера.</w:t>
      </w:r>
    </w:p>
    <w:p w:rsidR="00F17EE3" w:rsidRDefault="00F17EE3">
      <w:pPr>
        <w:spacing w:line="2" w:lineRule="exact"/>
        <w:rPr>
          <w:rFonts w:eastAsia="Times New Roman"/>
          <w:sz w:val="20"/>
          <w:szCs w:val="20"/>
        </w:rPr>
      </w:pPr>
    </w:p>
    <w:p w:rsidR="00F17EE3" w:rsidRDefault="000E0D06">
      <w:pPr>
        <w:spacing w:line="250" w:lineRule="auto"/>
        <w:ind w:firstLine="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Наведемо основні значення, отримані в резуль-таті проведених розрахунків.</w:t>
      </w:r>
    </w:p>
    <w:p w:rsidR="00F17EE3" w:rsidRDefault="000E0D06">
      <w:pPr>
        <w:spacing w:line="250" w:lineRule="auto"/>
        <w:ind w:left="340" w:right="1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Коефіцієнт кореляції = –0,600716 R</w:t>
      </w:r>
      <w:r>
        <w:rPr>
          <w:rFonts w:eastAsia="Times New Roman"/>
          <w:sz w:val="11"/>
          <w:szCs w:val="11"/>
        </w:rPr>
        <w:t>2</w:t>
      </w:r>
      <w:r>
        <w:rPr>
          <w:rFonts w:eastAsia="Times New Roman"/>
          <w:sz w:val="20"/>
          <w:szCs w:val="20"/>
        </w:rPr>
        <w:t xml:space="preserve"> = 36,086%</w:t>
      </w:r>
    </w:p>
    <w:p w:rsidR="00F17EE3" w:rsidRDefault="00F17EE3">
      <w:pPr>
        <w:spacing w:line="1" w:lineRule="exact"/>
        <w:rPr>
          <w:sz w:val="20"/>
          <w:szCs w:val="20"/>
        </w:rPr>
      </w:pPr>
    </w:p>
    <w:p w:rsidR="00F17EE3" w:rsidRDefault="000E0D06">
      <w:pPr>
        <w:spacing w:line="250" w:lineRule="auto"/>
        <w:ind w:firstLine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R­ скорек</w:t>
      </w:r>
      <w:r>
        <w:rPr>
          <w:rFonts w:eastAsia="Times New Roman"/>
          <w:sz w:val="20"/>
          <w:szCs w:val="20"/>
        </w:rPr>
        <w:t>тований для ступенів свобо-ди = 29,6945%</w:t>
      </w:r>
    </w:p>
    <w:p w:rsidR="00F17EE3" w:rsidRDefault="00F17EE3">
      <w:pPr>
        <w:spacing w:line="1" w:lineRule="exact"/>
        <w:rPr>
          <w:sz w:val="20"/>
          <w:szCs w:val="20"/>
        </w:rPr>
      </w:pPr>
    </w:p>
    <w:p w:rsidR="00F17EE3" w:rsidRDefault="000E0D06">
      <w:pPr>
        <w:spacing w:line="250" w:lineRule="auto"/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Середньоквадратична похибка оцінки = 4541,11 Середня абсолютна похибка (Mean Absolute</w:t>
      </w:r>
    </w:p>
    <w:p w:rsidR="00F17EE3" w:rsidRDefault="00F17EE3">
      <w:pPr>
        <w:spacing w:line="1" w:lineRule="exact"/>
        <w:rPr>
          <w:sz w:val="20"/>
          <w:szCs w:val="20"/>
        </w:rPr>
      </w:pPr>
    </w:p>
    <w:p w:rsidR="00F17EE3" w:rsidRDefault="000E0D0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Error, MAE) = 3558,06</w:t>
      </w:r>
    </w:p>
    <w:p w:rsidR="00F17EE3" w:rsidRDefault="00F17EE3">
      <w:pPr>
        <w:spacing w:line="10" w:lineRule="exact"/>
        <w:rPr>
          <w:sz w:val="20"/>
          <w:szCs w:val="20"/>
        </w:rPr>
      </w:pPr>
    </w:p>
    <w:p w:rsidR="00F17EE3" w:rsidRDefault="000E0D06">
      <w:pPr>
        <w:spacing w:line="250" w:lineRule="auto"/>
        <w:ind w:firstLine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Критерій Дарбіна–Уотсона = 1,43733 (P = 0,0771)</w:t>
      </w:r>
    </w:p>
    <w:p w:rsidR="00F17EE3" w:rsidRDefault="00F17EE3">
      <w:pPr>
        <w:spacing w:line="1" w:lineRule="exact"/>
        <w:rPr>
          <w:sz w:val="20"/>
          <w:szCs w:val="20"/>
        </w:rPr>
      </w:pPr>
    </w:p>
    <w:p w:rsidR="00F17EE3" w:rsidRDefault="000E0D06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Лаг 1 автокореляції залишків = 0,267301</w:t>
      </w:r>
    </w:p>
    <w:p w:rsidR="00F17EE3" w:rsidRDefault="00F17EE3">
      <w:pPr>
        <w:spacing w:line="99" w:lineRule="exact"/>
        <w:rPr>
          <w:sz w:val="20"/>
          <w:szCs w:val="20"/>
        </w:rPr>
      </w:pPr>
    </w:p>
    <w:p w:rsidR="00F17EE3" w:rsidRDefault="00F17EE3">
      <w:pPr>
        <w:sectPr w:rsidR="00F17EE3">
          <w:type w:val="continuous"/>
          <w:pgSz w:w="11620" w:h="16441"/>
          <w:pgMar w:top="645" w:right="1302" w:bottom="296" w:left="960" w:header="0" w:footer="0" w:gutter="0"/>
          <w:cols w:num="2" w:space="720" w:equalWidth="0">
            <w:col w:w="4540" w:space="280"/>
            <w:col w:w="4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680"/>
        <w:gridCol w:w="1960"/>
        <w:gridCol w:w="1960"/>
        <w:gridCol w:w="400"/>
        <w:gridCol w:w="1560"/>
        <w:gridCol w:w="30"/>
      </w:tblGrid>
      <w:tr w:rsidR="00F17EE3">
        <w:trPr>
          <w:trHeight w:val="222"/>
        </w:trPr>
        <w:tc>
          <w:tcPr>
            <w:tcW w:w="800" w:type="dxa"/>
            <w:vAlign w:val="bottom"/>
          </w:tcPr>
          <w:p w:rsidR="00F17EE3" w:rsidRDefault="00F17EE3">
            <w:pPr>
              <w:rPr>
                <w:sz w:val="19"/>
                <w:szCs w:val="19"/>
              </w:rPr>
            </w:pPr>
          </w:p>
        </w:tc>
        <w:tc>
          <w:tcPr>
            <w:tcW w:w="7000" w:type="dxa"/>
            <w:gridSpan w:val="4"/>
            <w:vMerge w:val="restart"/>
            <w:vAlign w:val="bottom"/>
          </w:tcPr>
          <w:p w:rsidR="00F17EE3" w:rsidRDefault="000E0D06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Залежність споживання енергетичних ресурсів за галузями від часу</w:t>
            </w:r>
          </w:p>
        </w:tc>
        <w:tc>
          <w:tcPr>
            <w:tcW w:w="1560" w:type="dxa"/>
            <w:vAlign w:val="bottom"/>
          </w:tcPr>
          <w:p w:rsidR="00F17EE3" w:rsidRDefault="000E0D0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Таблиця 1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150"/>
        </w:trPr>
        <w:tc>
          <w:tcPr>
            <w:tcW w:w="800" w:type="dxa"/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7000" w:type="dxa"/>
            <w:gridSpan w:val="4"/>
            <w:vMerge/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15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196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Рік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Кінцеве споживання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Промисловість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Транспорт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Сектор домогосподарств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90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енергетичних ресурсів (тис. т. н. е.)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(тис. т. н. е.)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(тис.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т. н. е.)</w:t>
            </w: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spacing w:line="170" w:lineRule="exact"/>
              <w:ind w:right="3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(тис. т. н. е.)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8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0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2000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85909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36994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6810</w:t>
            </w: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ind w:right="3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27452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0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2001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86981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36994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7181</w:t>
            </w: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ind w:right="3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26972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2002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76746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31327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7824</w:t>
            </w: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ind w:right="3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23770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2003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74004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30812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7433</w:t>
            </w: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ind w:right="3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22514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2004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81438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33208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12270</w:t>
            </w: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ind w:right="3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23921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2005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82929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33013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12300</w:t>
            </w: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ind w:right="3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24057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2006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82345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32771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11674</w:t>
            </w: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ind w:right="3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25363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2007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82434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34108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12364</w:t>
            </w: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ind w:right="3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23011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2008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78665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30763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12560</w:t>
            </w: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ind w:right="3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23394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2009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69011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18236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11733</w:t>
            </w: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ind w:right="3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17653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2010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73778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25923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11678</w:t>
            </w: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ind w:right="3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24846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2011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75836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26246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12561</w:t>
            </w: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ind w:right="3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23604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</w:tbl>
    <w:p w:rsidR="00F17EE3" w:rsidRDefault="00F17EE3">
      <w:pPr>
        <w:spacing w:line="71" w:lineRule="exact"/>
        <w:rPr>
          <w:sz w:val="20"/>
          <w:szCs w:val="20"/>
        </w:rPr>
      </w:pPr>
    </w:p>
    <w:p w:rsidR="00F17EE3" w:rsidRDefault="000E0D0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5"/>
          <w:szCs w:val="15"/>
        </w:rPr>
        <w:t>Джерело: дані Держстату України та розрахунки авторів</w:t>
      </w:r>
    </w:p>
    <w:p w:rsidR="00F17EE3" w:rsidRDefault="00F17E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" from=".15pt,6.15pt" to="467.9pt,6.15pt" o:allowincell="f" strokeweight="1.5pt"/>
        </w:pict>
      </w:r>
    </w:p>
    <w:p w:rsidR="00F17EE3" w:rsidRDefault="00F17EE3">
      <w:pPr>
        <w:sectPr w:rsidR="00F17EE3">
          <w:type w:val="continuous"/>
          <w:pgSz w:w="11620" w:h="16441"/>
          <w:pgMar w:top="645" w:right="1302" w:bottom="296" w:left="960" w:header="0" w:footer="0" w:gutter="0"/>
          <w:cols w:space="720" w:equalWidth="0">
            <w:col w:w="9360"/>
          </w:cols>
        </w:sectPr>
      </w:pPr>
    </w:p>
    <w:p w:rsidR="00F17EE3" w:rsidRDefault="00F17EE3">
      <w:pPr>
        <w:spacing w:line="159" w:lineRule="exact"/>
        <w:rPr>
          <w:sz w:val="20"/>
          <w:szCs w:val="20"/>
        </w:rPr>
      </w:pPr>
    </w:p>
    <w:p w:rsidR="00F17EE3" w:rsidRDefault="000E0D06">
      <w:pPr>
        <w:tabs>
          <w:tab w:val="left" w:pos="27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СТАТИСТИКА УКРАЇНИ, 2014, № 1</w:t>
      </w:r>
    </w:p>
    <w:p w:rsidR="00F17EE3" w:rsidRDefault="00F17EE3">
      <w:pPr>
        <w:sectPr w:rsidR="00F17EE3">
          <w:type w:val="continuous"/>
          <w:pgSz w:w="11620" w:h="16441"/>
          <w:pgMar w:top="645" w:right="1302" w:bottom="296" w:left="960" w:header="0" w:footer="0" w:gutter="0"/>
          <w:cols w:space="720" w:equalWidth="0">
            <w:col w:w="9360"/>
          </w:cols>
        </w:sectPr>
      </w:pPr>
    </w:p>
    <w:p w:rsidR="00F17EE3" w:rsidRDefault="000E0D06">
      <w:pPr>
        <w:jc w:val="center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b/>
          <w:bCs/>
        </w:rPr>
        <w:lastRenderedPageBreak/>
        <w:t>Статистика та економіка, аналіз</w:t>
      </w:r>
    </w:p>
    <w:p w:rsidR="00F17EE3" w:rsidRDefault="00F17E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" from=".15pt,4.55pt" to="467.9pt,4.55pt" o:allowincell="f" strokeweight="1.5pt"/>
        </w:pict>
      </w:r>
    </w:p>
    <w:p w:rsidR="00F17EE3" w:rsidRDefault="00F17EE3">
      <w:pPr>
        <w:spacing w:line="29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400"/>
        <w:gridCol w:w="800"/>
        <w:gridCol w:w="280"/>
        <w:gridCol w:w="460"/>
        <w:gridCol w:w="320"/>
        <w:gridCol w:w="80"/>
        <w:gridCol w:w="500"/>
        <w:gridCol w:w="120"/>
        <w:gridCol w:w="1160"/>
        <w:gridCol w:w="140"/>
        <w:gridCol w:w="480"/>
        <w:gridCol w:w="1260"/>
        <w:gridCol w:w="300"/>
        <w:gridCol w:w="1580"/>
        <w:gridCol w:w="30"/>
      </w:tblGrid>
      <w:tr w:rsidR="00F17EE3">
        <w:trPr>
          <w:trHeight w:val="222"/>
        </w:trPr>
        <w:tc>
          <w:tcPr>
            <w:tcW w:w="1500" w:type="dxa"/>
            <w:vAlign w:val="bottom"/>
          </w:tcPr>
          <w:p w:rsidR="00F17EE3" w:rsidRDefault="00F17EE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F17EE3" w:rsidRDefault="00F17EE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F17EE3" w:rsidRDefault="00F17EE3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F17EE3" w:rsidRDefault="00F17EE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F17EE3" w:rsidRDefault="00F17EE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F17EE3" w:rsidRDefault="00F17EE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F17EE3" w:rsidRDefault="00F17EE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F17EE3" w:rsidRDefault="00F17EE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F17EE3" w:rsidRDefault="00F17EE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17EE3" w:rsidRDefault="00F17EE3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F17EE3" w:rsidRDefault="00F17EE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F17EE3" w:rsidRDefault="00F17EE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F17EE3" w:rsidRDefault="00F17EE3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F17EE3" w:rsidRDefault="000E0D0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Таблиця 2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30"/>
        </w:trPr>
        <w:tc>
          <w:tcPr>
            <w:tcW w:w="1500" w:type="dxa"/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11"/>
            <w:vAlign w:val="bottom"/>
          </w:tcPr>
          <w:p w:rsidR="00F17EE3" w:rsidRDefault="000E0D06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Перевірка значущості коефіцієнтів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регресії</w:t>
            </w:r>
          </w:p>
        </w:tc>
        <w:tc>
          <w:tcPr>
            <w:tcW w:w="1580" w:type="dxa"/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151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196"/>
        </w:trPr>
        <w:tc>
          <w:tcPr>
            <w:tcW w:w="1500" w:type="dxa"/>
            <w:vMerge w:val="restart"/>
            <w:tcBorders>
              <w:left w:val="single" w:sz="8" w:space="0" w:color="auto"/>
            </w:tcBorders>
            <w:vAlign w:val="bottom"/>
          </w:tcPr>
          <w:p w:rsidR="00F17EE3" w:rsidRDefault="000E0D06">
            <w:pPr>
              <w:ind w:left="3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Параметр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F17EE3" w:rsidRDefault="000E0D06">
            <w:pPr>
              <w:ind w:left="2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МНК-оцінка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Середньо-квадратична</w:t>
            </w:r>
          </w:p>
        </w:tc>
        <w:tc>
          <w:tcPr>
            <w:tcW w:w="14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t–критерій Ст’юдента</w:t>
            </w:r>
          </w:p>
        </w:tc>
        <w:tc>
          <w:tcPr>
            <w:tcW w:w="30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P-значення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90"/>
        </w:trPr>
        <w:tc>
          <w:tcPr>
            <w:tcW w:w="1500" w:type="dxa"/>
            <w:vMerge/>
            <w:tcBorders>
              <w:left w:val="single" w:sz="8" w:space="0" w:color="auto"/>
            </w:tcBorders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spacing w:line="170" w:lineRule="exact"/>
              <w:ind w:right="5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похибка</w:t>
            </w:r>
          </w:p>
        </w:tc>
        <w:tc>
          <w:tcPr>
            <w:tcW w:w="140" w:type="dxa"/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80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3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7EE3" w:rsidRDefault="000E0D06">
            <w:pPr>
              <w:ind w:left="3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Intercept (a)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F17EE3" w:rsidRDefault="000E0D06">
            <w:pPr>
              <w:ind w:left="2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1,88879×10</w:t>
            </w:r>
            <w:r>
              <w:rPr>
                <w:rFonts w:eastAsia="Times New Roman"/>
                <w:sz w:val="8"/>
                <w:szCs w:val="8"/>
              </w:rPr>
              <w:t>6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ind w:right="5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761583,0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ind w:right="6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2,48009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ind w:right="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0,0325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0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F17EE3" w:rsidRDefault="000E0D06">
            <w:pPr>
              <w:ind w:left="3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Slope (b)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F17EE3" w:rsidRDefault="000E0D06">
            <w:pPr>
              <w:ind w:left="2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-902,329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ind w:right="5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379,747</w:t>
            </w:r>
          </w:p>
        </w:tc>
        <w:tc>
          <w:tcPr>
            <w:tcW w:w="14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-2,37613</w:t>
            </w:r>
          </w:p>
        </w:tc>
        <w:tc>
          <w:tcPr>
            <w:tcW w:w="30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ind w:right="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0,0389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49"/>
        </w:trPr>
        <w:tc>
          <w:tcPr>
            <w:tcW w:w="2700" w:type="dxa"/>
            <w:gridSpan w:val="3"/>
            <w:vAlign w:val="bottom"/>
          </w:tcPr>
          <w:p w:rsidR="00F17EE3" w:rsidRDefault="000E0D0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5"/>
                <w:szCs w:val="15"/>
              </w:rPr>
              <w:t>Джерело: розрахунки авторів</w:t>
            </w:r>
          </w:p>
        </w:tc>
        <w:tc>
          <w:tcPr>
            <w:tcW w:w="280" w:type="dxa"/>
            <w:vAlign w:val="bottom"/>
          </w:tcPr>
          <w:p w:rsidR="00F17EE3" w:rsidRDefault="00F17EE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17EE3" w:rsidRDefault="00F17EE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F17EE3" w:rsidRDefault="00F17EE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17EE3" w:rsidRDefault="00F17EE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F17EE3" w:rsidRDefault="00F17E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F17EE3" w:rsidRDefault="00F17EE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F17EE3" w:rsidRDefault="00F17EE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17EE3" w:rsidRDefault="00F17EE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F17EE3" w:rsidRDefault="00F17EE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F17EE3" w:rsidRDefault="00F17EE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F17EE3" w:rsidRDefault="00F17EE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F17EE3" w:rsidRDefault="00F17E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340"/>
        </w:trPr>
        <w:tc>
          <w:tcPr>
            <w:tcW w:w="1500" w:type="dxa"/>
            <w:vAlign w:val="bottom"/>
          </w:tcPr>
          <w:p w:rsidR="00F17EE3" w:rsidRDefault="00F17E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17EE3" w:rsidRDefault="00F17E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7EE3" w:rsidRDefault="00F17E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17EE3" w:rsidRDefault="00F17E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7EE3" w:rsidRDefault="00F17E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7EE3" w:rsidRDefault="00F17EE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7EE3" w:rsidRDefault="00F17E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7EE3" w:rsidRDefault="00F17E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17EE3" w:rsidRDefault="00F17EE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7EE3" w:rsidRDefault="00F17EE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17EE3" w:rsidRDefault="00F17E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17EE3" w:rsidRDefault="00F17E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17EE3" w:rsidRDefault="00F17EE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17EE3" w:rsidRDefault="000E0D0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Таблиця 3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30"/>
        </w:trPr>
        <w:tc>
          <w:tcPr>
            <w:tcW w:w="1500" w:type="dxa"/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vAlign w:val="bottom"/>
          </w:tcPr>
          <w:p w:rsidR="00F17EE3" w:rsidRDefault="000E0D06">
            <w:pPr>
              <w:ind w:left="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Перевірка значущості коефіцієнтів</w:t>
            </w:r>
          </w:p>
        </w:tc>
        <w:tc>
          <w:tcPr>
            <w:tcW w:w="1260" w:type="dxa"/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151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196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Джерело</w:t>
            </w: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F17EE3" w:rsidRDefault="000E0D06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Дисперсія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4"/>
            <w:vMerge w:val="restart"/>
            <w:vAlign w:val="bottom"/>
          </w:tcPr>
          <w:p w:rsidR="00F17EE3" w:rsidRDefault="000E0D06">
            <w:pPr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Ступені свободи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Середньо-квадратичне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Критерій Фішера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P–значення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90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4"/>
            <w:vMerge/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F17EE3" w:rsidRDefault="000E0D06">
            <w:pPr>
              <w:spacing w:line="170" w:lineRule="exact"/>
              <w:ind w:left="3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значення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8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3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Модель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F17EE3" w:rsidRDefault="000E0D06">
            <w:pPr>
              <w:ind w:left="2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1,1643×10</w:t>
            </w:r>
            <w:r>
              <w:rPr>
                <w:rFonts w:eastAsia="Times New Roman"/>
                <w:sz w:val="8"/>
                <w:szCs w:val="8"/>
              </w:rPr>
              <w:t>8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7EE3" w:rsidRDefault="000E0D06">
            <w:pPr>
              <w:ind w:left="1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17EE3" w:rsidRDefault="000E0D06">
            <w:pPr>
              <w:ind w:left="3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1,1643×10</w:t>
            </w:r>
            <w:r>
              <w:rPr>
                <w:rFonts w:eastAsia="Times New Roman"/>
                <w:sz w:val="8"/>
                <w:szCs w:val="8"/>
              </w:rPr>
              <w:t>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17EE3" w:rsidRDefault="000E0D0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5,65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0,0389&lt;a=0,05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3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Залишки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F17EE3" w:rsidRDefault="000E0D06">
            <w:pPr>
              <w:ind w:left="2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2,06217×10</w:t>
            </w:r>
            <w:r>
              <w:rPr>
                <w:rFonts w:eastAsia="Times New Roman"/>
                <w:sz w:val="8"/>
                <w:szCs w:val="8"/>
              </w:rPr>
              <w:t>8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F17EE3" w:rsidRDefault="000E0D06">
            <w:pPr>
              <w:ind w:left="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17EE3" w:rsidRDefault="000E0D06">
            <w:pPr>
              <w:ind w:left="3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2,06217×10</w:t>
            </w:r>
            <w:r>
              <w:rPr>
                <w:rFonts w:eastAsia="Times New Roman"/>
                <w:sz w:val="8"/>
                <w:szCs w:val="8"/>
              </w:rPr>
              <w:t>7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3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Сумарно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F17EE3" w:rsidRDefault="000E0D06">
            <w:pPr>
              <w:ind w:left="2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3,22647×10</w:t>
            </w:r>
            <w:r>
              <w:rPr>
                <w:rFonts w:eastAsia="Times New Roman"/>
                <w:sz w:val="8"/>
                <w:szCs w:val="8"/>
              </w:rPr>
              <w:t>8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F17EE3" w:rsidRDefault="000E0D06">
            <w:pPr>
              <w:ind w:left="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</w:tbl>
    <w:p w:rsidR="00F17EE3" w:rsidRDefault="00F17EE3">
      <w:pPr>
        <w:spacing w:line="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1260"/>
        <w:gridCol w:w="4680"/>
      </w:tblGrid>
      <w:tr w:rsidR="00F17EE3">
        <w:trPr>
          <w:trHeight w:val="178"/>
        </w:trPr>
        <w:tc>
          <w:tcPr>
            <w:tcW w:w="3420" w:type="dxa"/>
            <w:vAlign w:val="bottom"/>
          </w:tcPr>
          <w:p w:rsidR="00F17EE3" w:rsidRDefault="000E0D0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5"/>
                <w:szCs w:val="15"/>
              </w:rPr>
              <w:t>Джерело: розрахунки авторів</w:t>
            </w:r>
          </w:p>
        </w:tc>
        <w:tc>
          <w:tcPr>
            <w:tcW w:w="1260" w:type="dxa"/>
            <w:vAlign w:val="bottom"/>
          </w:tcPr>
          <w:p w:rsidR="00F17EE3" w:rsidRDefault="00F17EE3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vAlign w:val="bottom"/>
          </w:tcPr>
          <w:p w:rsidR="00F17EE3" w:rsidRDefault="00F17EE3">
            <w:pPr>
              <w:rPr>
                <w:sz w:val="15"/>
                <w:szCs w:val="15"/>
              </w:rPr>
            </w:pPr>
          </w:p>
        </w:tc>
      </w:tr>
      <w:tr w:rsidR="00F17EE3">
        <w:trPr>
          <w:trHeight w:val="400"/>
        </w:trPr>
        <w:tc>
          <w:tcPr>
            <w:tcW w:w="4680" w:type="dxa"/>
            <w:gridSpan w:val="2"/>
            <w:vAlign w:val="bottom"/>
          </w:tcPr>
          <w:p w:rsidR="00F17EE3" w:rsidRDefault="000E0D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Отже, рівняння підібраної моделі </w:t>
            </w:r>
            <w:r>
              <w:rPr>
                <w:rFonts w:eastAsia="Times New Roman"/>
                <w:sz w:val="20"/>
                <w:szCs w:val="20"/>
              </w:rPr>
              <w:t>лінійної ре-</w:t>
            </w:r>
          </w:p>
        </w:tc>
        <w:tc>
          <w:tcPr>
            <w:tcW w:w="4680" w:type="dxa"/>
            <w:vAlign w:val="bottom"/>
          </w:tcPr>
          <w:p w:rsidR="00F17EE3" w:rsidRDefault="000E0D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ляція залишків відсутня з 95,0-відсотковим рівнем</w:t>
            </w:r>
          </w:p>
        </w:tc>
      </w:tr>
      <w:tr w:rsidR="00F17EE3">
        <w:trPr>
          <w:trHeight w:val="240"/>
        </w:trPr>
        <w:tc>
          <w:tcPr>
            <w:tcW w:w="3420" w:type="dxa"/>
            <w:vAlign w:val="bottom"/>
          </w:tcPr>
          <w:p w:rsidR="00F17EE3" w:rsidRDefault="000E0D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гресії має вигляд:</w:t>
            </w:r>
          </w:p>
        </w:tc>
        <w:tc>
          <w:tcPr>
            <w:tcW w:w="1260" w:type="dxa"/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F17EE3" w:rsidRDefault="000E0D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довірчої ймовірності.</w:t>
            </w:r>
          </w:p>
        </w:tc>
      </w:tr>
      <w:tr w:rsidR="00F17EE3">
        <w:trPr>
          <w:trHeight w:val="302"/>
        </w:trPr>
        <w:tc>
          <w:tcPr>
            <w:tcW w:w="3420" w:type="dxa"/>
            <w:vAlign w:val="bottom"/>
          </w:tcPr>
          <w:p w:rsidR="00F17EE3" w:rsidRDefault="000E0D06">
            <w:pPr>
              <w:spacing w:line="30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>y</w:t>
            </w:r>
            <w:r>
              <w:rPr>
                <w:rFonts w:eastAsia="Times New Roman"/>
                <w:w w:val="88"/>
                <w:sz w:val="24"/>
                <w:szCs w:val="24"/>
              </w:rPr>
              <w:t>1</w:t>
            </w: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=</w:t>
            </w: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88"/>
                <w:sz w:val="24"/>
                <w:szCs w:val="24"/>
              </w:rPr>
              <w:t>1,88879</w:t>
            </w: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88"/>
                <w:sz w:val="24"/>
                <w:szCs w:val="24"/>
              </w:rPr>
              <w:t>⋅</w:t>
            </w: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88"/>
                <w:sz w:val="24"/>
                <w:szCs w:val="24"/>
              </w:rPr>
              <w:t>10</w:t>
            </w: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88"/>
                <w:sz w:val="27"/>
                <w:szCs w:val="27"/>
                <w:vertAlign w:val="superscript"/>
              </w:rPr>
              <w:t>6</w:t>
            </w: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−</w:t>
            </w: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88"/>
                <w:sz w:val="24"/>
                <w:szCs w:val="24"/>
              </w:rPr>
              <w:t>902,329</w:t>
            </w: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 xml:space="preserve"> x</w:t>
            </w:r>
            <w:r>
              <w:rPr>
                <w:rFonts w:eastAsia="Times New Roman"/>
                <w:w w:val="88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bottom"/>
          </w:tcPr>
          <w:p w:rsidR="00F17EE3" w:rsidRDefault="000E0D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4680" w:type="dxa"/>
            <w:vAlign w:val="bottom"/>
          </w:tcPr>
          <w:p w:rsidR="00F17EE3" w:rsidRDefault="000E0D0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Отже,  як  видно  з  отриманих  результатів,</w:t>
            </w:r>
          </w:p>
        </w:tc>
      </w:tr>
      <w:tr w:rsidR="00F17EE3">
        <w:trPr>
          <w:trHeight w:val="185"/>
        </w:trPr>
        <w:tc>
          <w:tcPr>
            <w:tcW w:w="3420" w:type="dxa"/>
            <w:vAlign w:val="bottom"/>
          </w:tcPr>
          <w:p w:rsidR="00F17EE3" w:rsidRDefault="00F17EE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F17EE3" w:rsidRDefault="00F17EE3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Align w:val="bottom"/>
          </w:tcPr>
          <w:p w:rsidR="00F17EE3" w:rsidRDefault="000E0D06">
            <w:pPr>
              <w:spacing w:line="1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оскільки для всіх гіпотез значення розрахункових</w:t>
            </w:r>
          </w:p>
        </w:tc>
      </w:tr>
      <w:tr w:rsidR="00F17EE3">
        <w:trPr>
          <w:trHeight w:val="191"/>
        </w:trPr>
        <w:tc>
          <w:tcPr>
            <w:tcW w:w="4680" w:type="dxa"/>
            <w:gridSpan w:val="2"/>
            <w:vAlign w:val="bottom"/>
          </w:tcPr>
          <w:p w:rsidR="00F17EE3" w:rsidRDefault="000E0D06">
            <w:pPr>
              <w:spacing w:line="19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Незалежна змінна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x</w:t>
            </w:r>
            <w:r>
              <w:rPr>
                <w:rFonts w:eastAsia="Times New Roman"/>
                <w:sz w:val="20"/>
                <w:szCs w:val="20"/>
              </w:rPr>
              <w:t xml:space="preserve"> (часовий період з 2000 р.</w:t>
            </w:r>
          </w:p>
        </w:tc>
        <w:tc>
          <w:tcPr>
            <w:tcW w:w="4680" w:type="dxa"/>
            <w:vAlign w:val="bottom"/>
          </w:tcPr>
          <w:p w:rsidR="00F17EE3" w:rsidRDefault="000E0D06">
            <w:pPr>
              <w:spacing w:line="19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ймовірностей менше похибки першого роду, а саме,</w:t>
            </w:r>
          </w:p>
        </w:tc>
      </w:tr>
      <w:tr w:rsidR="00F17EE3">
        <w:trPr>
          <w:trHeight w:val="289"/>
        </w:trPr>
        <w:tc>
          <w:tcPr>
            <w:tcW w:w="4680" w:type="dxa"/>
            <w:gridSpan w:val="2"/>
            <w:vAlign w:val="bottom"/>
          </w:tcPr>
          <w:p w:rsidR="00F17EE3" w:rsidRDefault="000E0D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2011 р.) – це фактор, від якого залежить випад-</w:t>
            </w:r>
          </w:p>
        </w:tc>
        <w:tc>
          <w:tcPr>
            <w:tcW w:w="4680" w:type="dxa"/>
            <w:vAlign w:val="bottom"/>
          </w:tcPr>
          <w:p w:rsidR="00F17EE3" w:rsidRDefault="000E0D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P–значення &lt; </w:t>
            </w: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α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3"/>
                <w:szCs w:val="23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0, 05</w:t>
            </w:r>
            <w:r>
              <w:rPr>
                <w:rFonts w:eastAsia="Times New Roman"/>
                <w:sz w:val="20"/>
                <w:szCs w:val="20"/>
              </w:rPr>
              <w:t>, де a – рівень значущості,</w:t>
            </w:r>
          </w:p>
        </w:tc>
      </w:tr>
      <w:tr w:rsidR="00F17EE3">
        <w:trPr>
          <w:trHeight w:val="233"/>
        </w:trPr>
        <w:tc>
          <w:tcPr>
            <w:tcW w:w="4680" w:type="dxa"/>
            <w:gridSpan w:val="2"/>
            <w:vAlign w:val="bottom"/>
          </w:tcPr>
          <w:p w:rsidR="00F17EE3" w:rsidRDefault="000E0D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кова величина показника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y</w:t>
            </w:r>
            <w:r>
              <w:rPr>
                <w:rFonts w:eastAsia="Times New Roman"/>
                <w:sz w:val="20"/>
                <w:szCs w:val="20"/>
              </w:rPr>
              <w:t xml:space="preserve"> (загальне споживання</w:t>
            </w:r>
          </w:p>
        </w:tc>
        <w:tc>
          <w:tcPr>
            <w:tcW w:w="4680" w:type="dxa"/>
            <w:vAlign w:val="bottom"/>
          </w:tcPr>
          <w:p w:rsidR="00F17EE3" w:rsidRDefault="000E0D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 з </w:t>
            </w:r>
            <w:r>
              <w:rPr>
                <w:rFonts w:eastAsia="Times New Roman"/>
                <w:sz w:val="20"/>
                <w:szCs w:val="20"/>
              </w:rPr>
              <w:t>надійністю 95% можна вважати лінійну модель</w:t>
            </w:r>
          </w:p>
        </w:tc>
      </w:tr>
      <w:tr w:rsidR="00F17EE3">
        <w:trPr>
          <w:trHeight w:val="240"/>
        </w:trPr>
        <w:tc>
          <w:tcPr>
            <w:tcW w:w="4680" w:type="dxa"/>
            <w:gridSpan w:val="2"/>
            <w:vAlign w:val="bottom"/>
          </w:tcPr>
          <w:p w:rsidR="00F17EE3" w:rsidRDefault="000E0D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енергетичних ресурсів, споживання енергетичних</w:t>
            </w:r>
          </w:p>
        </w:tc>
        <w:tc>
          <w:tcPr>
            <w:tcW w:w="4680" w:type="dxa"/>
            <w:vAlign w:val="bottom"/>
          </w:tcPr>
          <w:p w:rsidR="00F17EE3" w:rsidRDefault="000E0D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адекватною.</w:t>
            </w:r>
          </w:p>
        </w:tc>
      </w:tr>
      <w:tr w:rsidR="00F17EE3">
        <w:trPr>
          <w:trHeight w:val="240"/>
        </w:trPr>
        <w:tc>
          <w:tcPr>
            <w:tcW w:w="4680" w:type="dxa"/>
            <w:gridSpan w:val="2"/>
            <w:vAlign w:val="bottom"/>
          </w:tcPr>
          <w:p w:rsidR="00F17EE3" w:rsidRDefault="000E0D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ресурсів за галузями і т. д. залежно від моделі, що</w:t>
            </w:r>
          </w:p>
        </w:tc>
        <w:tc>
          <w:tcPr>
            <w:tcW w:w="4680" w:type="dxa"/>
            <w:vAlign w:val="bottom"/>
          </w:tcPr>
          <w:p w:rsidR="00F17EE3" w:rsidRDefault="000E0D0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рис. 1 наведено графіки лінії регресії та</w:t>
            </w:r>
          </w:p>
        </w:tc>
      </w:tr>
      <w:tr w:rsidR="00F17EE3">
        <w:trPr>
          <w:trHeight w:val="240"/>
        </w:trPr>
        <w:tc>
          <w:tcPr>
            <w:tcW w:w="3420" w:type="dxa"/>
            <w:vAlign w:val="bottom"/>
          </w:tcPr>
          <w:p w:rsidR="00F17EE3" w:rsidRDefault="000E0D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розглядається).</w:t>
            </w:r>
          </w:p>
        </w:tc>
        <w:tc>
          <w:tcPr>
            <w:tcW w:w="1260" w:type="dxa"/>
            <w:vAlign w:val="bottom"/>
          </w:tcPr>
          <w:p w:rsidR="00F17EE3" w:rsidRDefault="00F17EE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F17EE3" w:rsidRDefault="000E0D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95-відсоткові довірчі межі для </w:t>
            </w:r>
            <w:r>
              <w:rPr>
                <w:rFonts w:eastAsia="Times New Roman"/>
                <w:sz w:val="20"/>
                <w:szCs w:val="20"/>
              </w:rPr>
              <w:t>надійної зони регре-</w:t>
            </w:r>
          </w:p>
        </w:tc>
      </w:tr>
      <w:tr w:rsidR="00F17EE3">
        <w:trPr>
          <w:trHeight w:val="240"/>
        </w:trPr>
        <w:tc>
          <w:tcPr>
            <w:tcW w:w="3420" w:type="dxa"/>
            <w:vAlign w:val="bottom"/>
          </w:tcPr>
          <w:p w:rsidR="00F17EE3" w:rsidRDefault="000E0D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Значення квадрата коефіцієнта</w:t>
            </w:r>
          </w:p>
        </w:tc>
        <w:tc>
          <w:tcPr>
            <w:tcW w:w="1260" w:type="dxa"/>
            <w:vAlign w:val="bottom"/>
          </w:tcPr>
          <w:p w:rsidR="00F17EE3" w:rsidRDefault="000E0D0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детермінації</w:t>
            </w:r>
          </w:p>
        </w:tc>
        <w:tc>
          <w:tcPr>
            <w:tcW w:w="4680" w:type="dxa"/>
            <w:vAlign w:val="bottom"/>
          </w:tcPr>
          <w:p w:rsidR="00F17EE3" w:rsidRDefault="000E0D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сії та вибіркових даних.</w:t>
            </w:r>
          </w:p>
        </w:tc>
      </w:tr>
    </w:tbl>
    <w:p w:rsidR="00F17EE3" w:rsidRDefault="00F17EE3">
      <w:pPr>
        <w:spacing w:line="7" w:lineRule="exact"/>
        <w:rPr>
          <w:sz w:val="20"/>
          <w:szCs w:val="20"/>
        </w:rPr>
      </w:pPr>
    </w:p>
    <w:p w:rsidR="00F17EE3" w:rsidRDefault="000E0D06">
      <w:pPr>
        <w:spacing w:line="250" w:lineRule="auto"/>
        <w:ind w:right="48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вказує на те, що підібрана модель пояснює 36,086 % загальної дисперсії залежної змінної </w:t>
      </w:r>
      <w:r>
        <w:rPr>
          <w:rFonts w:eastAsia="Times New Roman"/>
          <w:i/>
          <w:iCs/>
          <w:sz w:val="20"/>
          <w:szCs w:val="20"/>
        </w:rPr>
        <w:t>y</w:t>
      </w:r>
      <w:r>
        <w:rPr>
          <w:rFonts w:eastAsia="Times New Roman"/>
          <w:sz w:val="20"/>
          <w:szCs w:val="20"/>
        </w:rPr>
        <w:t xml:space="preserve">1. Значення коефіцієнта кореляції –0,600716 вказує на помірно сильний зв’язок між змінними </w:t>
      </w:r>
      <w:r>
        <w:rPr>
          <w:rFonts w:eastAsia="Times New Roman"/>
          <w:i/>
          <w:iCs/>
          <w:sz w:val="20"/>
          <w:szCs w:val="20"/>
        </w:rPr>
        <w:t>y</w:t>
      </w:r>
      <w:r>
        <w:rPr>
          <w:rFonts w:eastAsia="Times New Roman"/>
          <w:sz w:val="20"/>
          <w:szCs w:val="20"/>
        </w:rPr>
        <w:t xml:space="preserve">1 та </w:t>
      </w:r>
      <w:r>
        <w:rPr>
          <w:rFonts w:eastAsia="Times New Roman"/>
          <w:i/>
          <w:iCs/>
          <w:sz w:val="20"/>
          <w:szCs w:val="20"/>
        </w:rPr>
        <w:t>x</w:t>
      </w:r>
      <w:r>
        <w:rPr>
          <w:rFonts w:eastAsia="Times New Roman"/>
          <w:sz w:val="20"/>
          <w:szCs w:val="20"/>
        </w:rPr>
        <w:t xml:space="preserve">. Значення се-редньоквадратичної похибки оцінки відображає се-редньоквадратичне відхилення залишків, що дорів-нює 4541,11. Це значення може використовуватись </w:t>
      </w:r>
      <w:r>
        <w:rPr>
          <w:rFonts w:eastAsia="Times New Roman"/>
          <w:sz w:val="20"/>
          <w:szCs w:val="20"/>
        </w:rPr>
        <w:t>для побудови границь прогнозу. Значення MAE 3558,06 являє собою середнє значення похибок. Критерій Дарбіна–Уотсона характеризує залиш-ки для визначення існування істотної кореляції. Оскільки P–значення перевищує 0,95, то автокоре-</w:t>
      </w:r>
    </w:p>
    <w:p w:rsidR="00F17EE3" w:rsidRDefault="000E0D0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-1648460</wp:posOffset>
            </wp:positionV>
            <wp:extent cx="5939790" cy="3743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4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21" w:lineRule="exact"/>
        <w:rPr>
          <w:sz w:val="20"/>
          <w:szCs w:val="20"/>
        </w:rPr>
      </w:pPr>
    </w:p>
    <w:p w:rsidR="00F17EE3" w:rsidRDefault="000E0D06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Рис. 2. Графік залиш</w:t>
      </w:r>
      <w:r>
        <w:rPr>
          <w:rFonts w:eastAsia="Times New Roman"/>
          <w:b/>
          <w:bCs/>
          <w:sz w:val="19"/>
          <w:szCs w:val="19"/>
        </w:rPr>
        <w:t>ків</w:t>
      </w:r>
    </w:p>
    <w:p w:rsidR="00F17EE3" w:rsidRDefault="000E0D0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3060065</wp:posOffset>
            </wp:positionH>
            <wp:positionV relativeFrom="paragraph">
              <wp:posOffset>75565</wp:posOffset>
            </wp:positionV>
            <wp:extent cx="2879725" cy="1854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3060065</wp:posOffset>
            </wp:positionH>
            <wp:positionV relativeFrom="paragraph">
              <wp:posOffset>75565</wp:posOffset>
            </wp:positionV>
            <wp:extent cx="2879725" cy="1854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347" w:lineRule="exact"/>
        <w:rPr>
          <w:sz w:val="20"/>
          <w:szCs w:val="20"/>
        </w:rPr>
      </w:pPr>
    </w:p>
    <w:p w:rsidR="00F17EE3" w:rsidRDefault="000E0D06">
      <w:pPr>
        <w:spacing w:line="251" w:lineRule="auto"/>
        <w:ind w:right="48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Рис. 1. Графік регресії: 1 – лінія регресії, 2 – значення y1, 3 – лінія 95-відсоткових довірчих меж регресії, 4 – лінія 95-відсоткових довірчих</w:t>
      </w:r>
    </w:p>
    <w:p w:rsidR="00F17EE3" w:rsidRDefault="00F17EE3">
      <w:pPr>
        <w:spacing w:line="3" w:lineRule="exact"/>
        <w:rPr>
          <w:sz w:val="20"/>
          <w:szCs w:val="20"/>
        </w:rPr>
      </w:pPr>
    </w:p>
    <w:p w:rsidR="00F17EE3" w:rsidRDefault="000E0D06">
      <w:pPr>
        <w:tabs>
          <w:tab w:val="left" w:pos="5180"/>
        </w:tabs>
        <w:ind w:left="158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меж значень y1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Рис. 3. Графік стандартизованих залишків</w:t>
      </w:r>
    </w:p>
    <w:p w:rsidR="00F17EE3" w:rsidRDefault="00F17E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1824;visibility:visible;mso-wrap-distance-left:0;mso-wrap-distance-right:0" from=".15pt,5.65pt" to="467.9pt,5.65pt" o:allowincell="f" strokeweight="1.5pt"/>
        </w:pict>
      </w:r>
    </w:p>
    <w:p w:rsidR="00F17EE3" w:rsidRDefault="00F17EE3">
      <w:pPr>
        <w:sectPr w:rsidR="00F17EE3">
          <w:pgSz w:w="11620" w:h="16441"/>
          <w:pgMar w:top="645" w:right="962" w:bottom="296" w:left="1300" w:header="0" w:footer="0" w:gutter="0"/>
          <w:cols w:space="720" w:equalWidth="0">
            <w:col w:w="9360"/>
          </w:cols>
        </w:sectPr>
      </w:pPr>
    </w:p>
    <w:p w:rsidR="00F17EE3" w:rsidRDefault="00F17EE3">
      <w:pPr>
        <w:spacing w:line="149" w:lineRule="exact"/>
        <w:rPr>
          <w:sz w:val="20"/>
          <w:szCs w:val="20"/>
        </w:rPr>
      </w:pPr>
    </w:p>
    <w:p w:rsidR="00F17EE3" w:rsidRDefault="000E0D06">
      <w:pPr>
        <w:tabs>
          <w:tab w:val="left" w:pos="9060"/>
        </w:tabs>
        <w:ind w:left="27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СТАТИСТИКА </w:t>
      </w:r>
      <w:r>
        <w:rPr>
          <w:rFonts w:ascii="Arial" w:eastAsia="Arial" w:hAnsi="Arial" w:cs="Arial"/>
          <w:b/>
          <w:bCs/>
        </w:rPr>
        <w:t>УКРАЇНИ, 2014, № 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23</w:t>
      </w:r>
    </w:p>
    <w:p w:rsidR="00F17EE3" w:rsidRDefault="00F17EE3">
      <w:pPr>
        <w:sectPr w:rsidR="00F17EE3">
          <w:type w:val="continuous"/>
          <w:pgSz w:w="11620" w:h="16441"/>
          <w:pgMar w:top="645" w:right="962" w:bottom="296" w:left="1300" w:header="0" w:footer="0" w:gutter="0"/>
          <w:cols w:space="720" w:equalWidth="0">
            <w:col w:w="9360"/>
          </w:cols>
        </w:sectPr>
      </w:pPr>
    </w:p>
    <w:p w:rsidR="00F17EE3" w:rsidRDefault="000E0D06">
      <w:pPr>
        <w:jc w:val="center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b/>
          <w:bCs/>
        </w:rPr>
        <w:lastRenderedPageBreak/>
        <w:t>Статистика та економіка, аналіз</w:t>
      </w:r>
    </w:p>
    <w:p w:rsidR="00F17EE3" w:rsidRDefault="000E0D0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48895</wp:posOffset>
            </wp:positionV>
            <wp:extent cx="5939790" cy="21596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EE3" w:rsidRDefault="00F17EE3">
      <w:pPr>
        <w:sectPr w:rsidR="00F17EE3">
          <w:pgSz w:w="11620" w:h="16441"/>
          <w:pgMar w:top="645" w:right="1302" w:bottom="296" w:left="960" w:header="0" w:footer="0" w:gutter="0"/>
          <w:cols w:space="720" w:equalWidth="0">
            <w:col w:w="9360"/>
          </w:cols>
        </w:sectPr>
      </w:pPr>
    </w:p>
    <w:p w:rsidR="00F17EE3" w:rsidRDefault="00F17EE3">
      <w:pPr>
        <w:spacing w:line="352" w:lineRule="exact"/>
        <w:rPr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Завершальним етапом у побудові регресійної моделі є аналіз залишків, характеристики і пове-дінка яких безпосередньо визначають адекватність</w:t>
      </w:r>
    </w:p>
    <w:p w:rsidR="00F17EE3" w:rsidRDefault="00F17EE3">
      <w:pPr>
        <w:spacing w:line="1" w:lineRule="exact"/>
        <w:rPr>
          <w:sz w:val="20"/>
          <w:szCs w:val="20"/>
        </w:rPr>
      </w:pPr>
    </w:p>
    <w:p w:rsidR="00F17EE3" w:rsidRDefault="000E0D06">
      <w:pPr>
        <w:numPr>
          <w:ilvl w:val="0"/>
          <w:numId w:val="9"/>
        </w:numPr>
        <w:tabs>
          <w:tab w:val="left" w:pos="99"/>
        </w:tabs>
        <w:spacing w:line="250" w:lineRule="auto"/>
        <w:ind w:firstLine="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прогностичну</w:t>
      </w:r>
      <w:r>
        <w:rPr>
          <w:rFonts w:eastAsia="Times New Roman"/>
          <w:sz w:val="20"/>
          <w:szCs w:val="20"/>
        </w:rPr>
        <w:t xml:space="preserve"> силу моделі. На рис. 2 наведено гра-фік залишків, з якого видно, що вибіркові дані уз-годжуються з модельними.</w:t>
      </w:r>
    </w:p>
    <w:p w:rsidR="00F17EE3" w:rsidRDefault="00F17EE3">
      <w:pPr>
        <w:spacing w:line="1" w:lineRule="exact"/>
        <w:rPr>
          <w:rFonts w:eastAsia="Times New Roman"/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На рис. 3 наведено графік залишків у ст’юден-тизованому вигляді. Враховуючи те, що розрахун-кове значення коефіцієнта Дарбіна–Уотсона набу-ває </w:t>
      </w:r>
      <w:r>
        <w:rPr>
          <w:rFonts w:eastAsia="Times New Roman"/>
          <w:sz w:val="20"/>
          <w:szCs w:val="20"/>
        </w:rPr>
        <w:t>значення 1,43733 &gt; 1,3, автокореляцію залишків можна вважати несуттєвою.</w:t>
      </w:r>
    </w:p>
    <w:p w:rsidR="00F17EE3" w:rsidRDefault="00F17EE3">
      <w:pPr>
        <w:spacing w:line="2" w:lineRule="exact"/>
        <w:rPr>
          <w:rFonts w:eastAsia="Times New Roman"/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Акцентуємо увагу на значенні стандартної по-хибки, що дорівнює 4541,11 та характеризує точ-ність прогнозу за цією моделлю.</w:t>
      </w:r>
    </w:p>
    <w:p w:rsidR="00F17EE3" w:rsidRDefault="00F17EE3">
      <w:pPr>
        <w:spacing w:line="1" w:lineRule="exact"/>
        <w:rPr>
          <w:rFonts w:eastAsia="Times New Roman"/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Таким чином, на підставі проведеного аналізу побудовану лі</w:t>
      </w:r>
      <w:r>
        <w:rPr>
          <w:rFonts w:eastAsia="Times New Roman"/>
          <w:sz w:val="20"/>
          <w:szCs w:val="20"/>
        </w:rPr>
        <w:t>нійну регресійну модель (1) можна вважати адекватною експериментальним даним.</w:t>
      </w:r>
    </w:p>
    <w:p w:rsidR="00F17EE3" w:rsidRDefault="00F17EE3">
      <w:pPr>
        <w:spacing w:line="1" w:lineRule="exact"/>
        <w:rPr>
          <w:rFonts w:eastAsia="Times New Roman"/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основі побудованої моделі можна зробити висновок про наявність слабкого, але значимого від’ємного кореляційного лінійного зв’язку, який вказує на падіння кінцевого споживання</w:t>
      </w:r>
      <w:r>
        <w:rPr>
          <w:rFonts w:eastAsia="Times New Roman"/>
          <w:sz w:val="20"/>
          <w:szCs w:val="20"/>
        </w:rPr>
        <w:t xml:space="preserve"> енергоре-сурсів щорічно в середньому на 902,329 тис. т. н. е.</w:t>
      </w:r>
    </w:p>
    <w:p w:rsidR="00F17EE3" w:rsidRDefault="00F17EE3">
      <w:pPr>
        <w:spacing w:line="2" w:lineRule="exact"/>
        <w:rPr>
          <w:rFonts w:eastAsia="Times New Roman"/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 наявності адекватної регресійної моделі можна спрогнозувати кінцеве споживання енерге-тичних ресурсів на наступний період часу – 2013– 2016 роки. У табл. 4 наведено результати точкового та </w:t>
      </w:r>
      <w:r>
        <w:rPr>
          <w:rFonts w:eastAsia="Times New Roman"/>
          <w:sz w:val="20"/>
          <w:szCs w:val="20"/>
        </w:rPr>
        <w:t>95-відсоткового інтервального прогнозу.</w:t>
      </w:r>
    </w:p>
    <w:p w:rsidR="00F17EE3" w:rsidRDefault="00F17EE3">
      <w:pPr>
        <w:spacing w:line="2" w:lineRule="exact"/>
        <w:rPr>
          <w:rFonts w:eastAsia="Times New Roman"/>
          <w:sz w:val="20"/>
          <w:szCs w:val="20"/>
        </w:rPr>
      </w:pPr>
    </w:p>
    <w:p w:rsidR="00F17EE3" w:rsidRDefault="000E0D06">
      <w:pPr>
        <w:numPr>
          <w:ilvl w:val="1"/>
          <w:numId w:val="9"/>
        </w:numPr>
        <w:tabs>
          <w:tab w:val="left" w:pos="563"/>
        </w:tabs>
        <w:spacing w:line="250" w:lineRule="auto"/>
        <w:ind w:firstLine="34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табл. 4 наведено прогнозні значення кінце-вого споживання енергоресурсів на основі побудо-ваної регресійної моделі, а також 95-відсотковий прогнозний інтервал для нових даних спостере-жень і 95-відсотковий довірчий </w:t>
      </w:r>
      <w:r>
        <w:rPr>
          <w:rFonts w:eastAsia="Times New Roman"/>
          <w:sz w:val="20"/>
          <w:szCs w:val="20"/>
        </w:rPr>
        <w:t>інтервал для се-редніх значень спостережень, які відповідають внутрішній та зовнішній границям на графіку по-будованої моделі на рис. 1.</w:t>
      </w:r>
    </w:p>
    <w:p w:rsidR="00F17EE3" w:rsidRDefault="00F17EE3">
      <w:pPr>
        <w:spacing w:line="3" w:lineRule="exact"/>
        <w:rPr>
          <w:rFonts w:eastAsia="Times New Roman"/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На рис. 4 наведено графік прогнозних значень кінцевого споживання енергетичних ресурсів за мо-деллю (1) на період в 4 </w:t>
      </w:r>
      <w:r>
        <w:rPr>
          <w:rFonts w:eastAsia="Times New Roman"/>
          <w:sz w:val="20"/>
          <w:szCs w:val="20"/>
        </w:rPr>
        <w:t>роки з 2013 р. по 2016 р.</w:t>
      </w:r>
    </w:p>
    <w:p w:rsidR="00F17EE3" w:rsidRDefault="00F17EE3">
      <w:pPr>
        <w:spacing w:line="1" w:lineRule="exact"/>
        <w:rPr>
          <w:rFonts w:eastAsia="Times New Roman"/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нашу думку, ця модель може бути викори-стана, зокрема, при складанні прогнозних енерге-тичних балансів.</w:t>
      </w:r>
    </w:p>
    <w:p w:rsidR="00F17EE3" w:rsidRDefault="00F17EE3">
      <w:pPr>
        <w:spacing w:line="1" w:lineRule="exact"/>
        <w:rPr>
          <w:rFonts w:eastAsia="Times New Roman"/>
          <w:sz w:val="20"/>
          <w:szCs w:val="20"/>
        </w:rPr>
      </w:pPr>
    </w:p>
    <w:p w:rsidR="00F17EE3" w:rsidRDefault="000E0D06">
      <w:pPr>
        <w:spacing w:line="251" w:lineRule="auto"/>
        <w:ind w:firstLine="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Результати прогнозних розрахунків обсягів кінцевого споживання енергетичних ресурсів, зро-блених авторами статті, дозволя</w:t>
      </w:r>
      <w:r>
        <w:rPr>
          <w:rFonts w:eastAsia="Times New Roman"/>
          <w:sz w:val="20"/>
          <w:szCs w:val="20"/>
        </w:rPr>
        <w:t>ють стверджувати з імовірністю 95% про те, що у короткостроковій пер-спективі(2013–2016роки)вУкраїнізнижуватиметь-ся обсяг енергетичного споживання у промисловості</w:t>
      </w:r>
    </w:p>
    <w:p w:rsidR="00F17EE3" w:rsidRDefault="000E0D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374" w:lineRule="exact"/>
        <w:rPr>
          <w:sz w:val="20"/>
          <w:szCs w:val="20"/>
        </w:rPr>
      </w:pPr>
    </w:p>
    <w:p w:rsidR="00F17EE3" w:rsidRDefault="000E0D0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Рис. 4. Графік прогнозних значень</w:t>
      </w:r>
    </w:p>
    <w:p w:rsidR="00F17EE3" w:rsidRDefault="00F17EE3">
      <w:pPr>
        <w:spacing w:line="13" w:lineRule="exact"/>
        <w:rPr>
          <w:sz w:val="20"/>
          <w:szCs w:val="20"/>
        </w:rPr>
      </w:pPr>
    </w:p>
    <w:p w:rsidR="00F17EE3" w:rsidRDefault="000E0D06">
      <w:pPr>
        <w:spacing w:line="251" w:lineRule="auto"/>
        <w:ind w:lef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за побудованою моделлю: 1 – лінія </w:t>
      </w:r>
      <w:r>
        <w:rPr>
          <w:rFonts w:eastAsia="Times New Roman"/>
          <w:b/>
          <w:bCs/>
          <w:sz w:val="19"/>
          <w:szCs w:val="19"/>
        </w:rPr>
        <w:t>регресії, 2 – спостережені та прогнозні значення y1, 3 – лінія 95-відсоткових довірчих меж регресії,</w:t>
      </w:r>
    </w:p>
    <w:p w:rsidR="00F17EE3" w:rsidRDefault="00F17EE3">
      <w:pPr>
        <w:spacing w:line="3" w:lineRule="exact"/>
        <w:rPr>
          <w:sz w:val="20"/>
          <w:szCs w:val="20"/>
        </w:rPr>
      </w:pPr>
    </w:p>
    <w:p w:rsidR="00F17EE3" w:rsidRDefault="000E0D06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4 – лінія 95-відсоткових довірчих меж значень y1</w:t>
      </w:r>
    </w:p>
    <w:p w:rsidR="00F17EE3" w:rsidRDefault="00F17EE3">
      <w:pPr>
        <w:spacing w:line="179" w:lineRule="exact"/>
        <w:rPr>
          <w:sz w:val="20"/>
          <w:szCs w:val="20"/>
        </w:rPr>
      </w:pPr>
    </w:p>
    <w:p w:rsidR="00F17EE3" w:rsidRDefault="000E0D06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та секторі домашніх господарств, натомість зросте використання енергетичних ресурсів на транспорті. </w:t>
      </w:r>
      <w:r>
        <w:rPr>
          <w:rFonts w:eastAsia="Times New Roman"/>
          <w:sz w:val="20"/>
          <w:szCs w:val="20"/>
        </w:rPr>
        <w:t>Зменшаться обсяги споживання вугілля та природ-ного газу. Водночас спостерігатиметься зростання споживання біопалива та відходів. Показник спо-живання сирої нафти та продуктів її перероблення, електричної та теплової енергії майже не зміниться.</w:t>
      </w:r>
    </w:p>
    <w:p w:rsidR="00F17EE3" w:rsidRDefault="00F17EE3">
      <w:pPr>
        <w:spacing w:line="3" w:lineRule="exact"/>
        <w:rPr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Прогнозні </w:t>
      </w:r>
      <w:r>
        <w:rPr>
          <w:rFonts w:eastAsia="Times New Roman"/>
          <w:sz w:val="20"/>
          <w:szCs w:val="20"/>
        </w:rPr>
        <w:t>значення кінцевого споживання енергоресурсів на основі побудови регресійної моделі дозволили зробити висновок, що з імовір-ністю 95% обсяги кінцевого споживання енер-гетичних ресурсів загалом в Україні протягом 2013</w:t>
      </w:r>
      <w:r>
        <w:rPr>
          <w:rFonts w:eastAsia="Times New Roman"/>
          <w:b/>
          <w:bCs/>
          <w:sz w:val="20"/>
          <w:szCs w:val="20"/>
        </w:rPr>
        <w:t>–</w:t>
      </w:r>
      <w:r>
        <w:rPr>
          <w:rFonts w:eastAsia="Times New Roman"/>
          <w:sz w:val="20"/>
          <w:szCs w:val="20"/>
        </w:rPr>
        <w:t xml:space="preserve">2016 років зменшуватимуться. Нами також </w:t>
      </w:r>
      <w:r>
        <w:rPr>
          <w:rFonts w:eastAsia="Times New Roman"/>
          <w:sz w:val="20"/>
          <w:szCs w:val="20"/>
        </w:rPr>
        <w:t>побудовано аналогічні моделі прогнозного спожи-вання енергетичних ресурсів за галузями (промис-ловість, транспорт, сектор домогосподарств) та за видами енергетичних ресурсів.</w:t>
      </w:r>
    </w:p>
    <w:p w:rsidR="00F17EE3" w:rsidRDefault="00F17EE3">
      <w:pPr>
        <w:spacing w:line="4" w:lineRule="exact"/>
        <w:rPr>
          <w:sz w:val="20"/>
          <w:szCs w:val="20"/>
        </w:rPr>
      </w:pPr>
    </w:p>
    <w:p w:rsidR="00F17EE3" w:rsidRDefault="000E0D06">
      <w:pPr>
        <w:spacing w:line="250" w:lineRule="auto"/>
        <w:ind w:firstLine="3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Використовуючи методи кореляційного та ре-гресійного аналізу, автори розробили 4</w:t>
      </w:r>
      <w:r>
        <w:rPr>
          <w:rFonts w:eastAsia="Times New Roman"/>
          <w:sz w:val="20"/>
          <w:szCs w:val="20"/>
        </w:rPr>
        <w:t xml:space="preserve"> варіанти споживання енергетичних ресурсів в Україні на ко-роткострокову перспективу (2013</w:t>
      </w:r>
      <w:r>
        <w:rPr>
          <w:rFonts w:eastAsia="Times New Roman"/>
          <w:b/>
          <w:bCs/>
          <w:sz w:val="20"/>
          <w:szCs w:val="20"/>
        </w:rPr>
        <w:t>–</w:t>
      </w:r>
      <w:r>
        <w:rPr>
          <w:rFonts w:eastAsia="Times New Roman"/>
          <w:sz w:val="20"/>
          <w:szCs w:val="20"/>
        </w:rPr>
        <w:t xml:space="preserve">2016 роки). Усі вони доводять таке: хоча у деяких галузях і видах енергетичних ресурсів у цілому відбувається збіль-шення використання, кінцеве споживання протя-гом </w:t>
      </w:r>
      <w:r>
        <w:rPr>
          <w:rFonts w:eastAsia="Times New Roman"/>
          <w:sz w:val="20"/>
          <w:szCs w:val="20"/>
        </w:rPr>
        <w:t>2013</w:t>
      </w:r>
      <w:r>
        <w:rPr>
          <w:rFonts w:eastAsia="Times New Roman"/>
          <w:b/>
          <w:bCs/>
          <w:sz w:val="20"/>
          <w:szCs w:val="20"/>
        </w:rPr>
        <w:t>–</w:t>
      </w:r>
      <w:r>
        <w:rPr>
          <w:rFonts w:eastAsia="Times New Roman"/>
          <w:sz w:val="20"/>
          <w:szCs w:val="20"/>
        </w:rPr>
        <w:t>2016 років зменшуватиметься, що свід-чить, зокрема, про очікувану подальшу економію енергетичних ресурсів, підвищення рівня загальної енергоефективності національної економіки.</w:t>
      </w:r>
    </w:p>
    <w:p w:rsidR="00F17EE3" w:rsidRDefault="00F17EE3">
      <w:pPr>
        <w:spacing w:line="150" w:lineRule="exact"/>
        <w:rPr>
          <w:sz w:val="20"/>
          <w:szCs w:val="20"/>
        </w:rPr>
      </w:pPr>
    </w:p>
    <w:p w:rsidR="00F17EE3" w:rsidRDefault="00F17EE3">
      <w:pPr>
        <w:sectPr w:rsidR="00F17EE3">
          <w:type w:val="continuous"/>
          <w:pgSz w:w="11620" w:h="16441"/>
          <w:pgMar w:top="645" w:right="1302" w:bottom="296" w:left="960" w:header="0" w:footer="0" w:gutter="0"/>
          <w:cols w:num="2" w:space="720" w:equalWidth="0">
            <w:col w:w="4540" w:space="280"/>
            <w:col w:w="4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520"/>
        <w:gridCol w:w="1000"/>
        <w:gridCol w:w="1020"/>
        <w:gridCol w:w="460"/>
        <w:gridCol w:w="1480"/>
        <w:gridCol w:w="1000"/>
        <w:gridCol w:w="460"/>
        <w:gridCol w:w="1480"/>
        <w:gridCol w:w="30"/>
      </w:tblGrid>
      <w:tr w:rsidR="00F17EE3">
        <w:trPr>
          <w:trHeight w:val="222"/>
        </w:trPr>
        <w:tc>
          <w:tcPr>
            <w:tcW w:w="940" w:type="dxa"/>
            <w:vAlign w:val="bottom"/>
          </w:tcPr>
          <w:p w:rsidR="00F17EE3" w:rsidRDefault="00F17EE3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F17EE3" w:rsidRDefault="00F17EE3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5"/>
            <w:vMerge w:val="restart"/>
            <w:vAlign w:val="bottom"/>
          </w:tcPr>
          <w:p w:rsidR="00F17EE3" w:rsidRDefault="000E0D0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Прогнозні значення обсягу кінцевого спож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ивання</w:t>
            </w:r>
          </w:p>
        </w:tc>
        <w:tc>
          <w:tcPr>
            <w:tcW w:w="460" w:type="dxa"/>
            <w:vAlign w:val="bottom"/>
          </w:tcPr>
          <w:p w:rsidR="00F17EE3" w:rsidRDefault="00F17EE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F17EE3" w:rsidRDefault="000E0D0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Таблиця 4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140"/>
        </w:trPr>
        <w:tc>
          <w:tcPr>
            <w:tcW w:w="940" w:type="dxa"/>
            <w:vAlign w:val="bottom"/>
          </w:tcPr>
          <w:p w:rsidR="00F17EE3" w:rsidRDefault="00F17EE3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F17EE3" w:rsidRDefault="00F17EE3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gridSpan w:val="5"/>
            <w:vMerge/>
            <w:vAlign w:val="bottom"/>
          </w:tcPr>
          <w:p w:rsidR="00F17EE3" w:rsidRDefault="00F17EE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F17EE3" w:rsidRDefault="00F17EE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F17EE3" w:rsidRDefault="00F17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151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196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X</w:t>
            </w:r>
          </w:p>
        </w:tc>
        <w:tc>
          <w:tcPr>
            <w:tcW w:w="1520" w:type="dxa"/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95,00-відсотковий прогнозний інтервал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95,00-відсотковий довірчий інтервал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13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Прогнозний Y (тис. т. н. е.)</w:t>
            </w:r>
          </w:p>
        </w:tc>
        <w:tc>
          <w:tcPr>
            <w:tcW w:w="1020" w:type="dxa"/>
            <w:vAlign w:val="bottom"/>
          </w:tcPr>
          <w:p w:rsidR="00F17EE3" w:rsidRDefault="00F17EE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spacing w:line="138" w:lineRule="exact"/>
              <w:ind w:right="9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(тис. т. н. е.)</w:t>
            </w:r>
          </w:p>
        </w:tc>
        <w:tc>
          <w:tcPr>
            <w:tcW w:w="1000" w:type="dxa"/>
            <w:vAlign w:val="bottom"/>
          </w:tcPr>
          <w:p w:rsidR="00F17EE3" w:rsidRDefault="00F17EE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spacing w:line="138" w:lineRule="exact"/>
              <w:ind w:right="9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(тис. т. н. е.)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(роки)</w:t>
            </w: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92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Align w:val="bottom"/>
          </w:tcPr>
          <w:p w:rsidR="00F17EE3" w:rsidRDefault="00F17EE3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F17EE3" w:rsidRDefault="000E0D06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Нижній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Верхній</w:t>
            </w:r>
          </w:p>
        </w:tc>
        <w:tc>
          <w:tcPr>
            <w:tcW w:w="1000" w:type="dxa"/>
            <w:vMerge w:val="restart"/>
            <w:vAlign w:val="bottom"/>
          </w:tcPr>
          <w:p w:rsidR="00F17EE3" w:rsidRDefault="000E0D06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5"/>
                <w:szCs w:val="15"/>
              </w:rPr>
              <w:t>Нижній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Верхній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11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:rsidR="00F17EE3" w:rsidRDefault="00F17EE3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vAlign w:val="bottom"/>
          </w:tcPr>
          <w:p w:rsidR="00F17EE3" w:rsidRDefault="00F17EE3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vAlign w:val="bottom"/>
          </w:tcPr>
          <w:p w:rsidR="00F17EE3" w:rsidRDefault="00F17EE3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0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2012</w:t>
            </w:r>
          </w:p>
        </w:tc>
        <w:tc>
          <w:tcPr>
            <w:tcW w:w="1520" w:type="dxa"/>
            <w:vAlign w:val="bottom"/>
          </w:tcPr>
          <w:p w:rsidR="00F17EE3" w:rsidRDefault="000E0D06">
            <w:pPr>
              <w:ind w:left="9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73307,9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F17EE3" w:rsidRDefault="000E0D06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61426,8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85188,9</w:t>
            </w:r>
          </w:p>
        </w:tc>
        <w:tc>
          <w:tcPr>
            <w:tcW w:w="1000" w:type="dxa"/>
            <w:vAlign w:val="bottom"/>
          </w:tcPr>
          <w:p w:rsidR="00F17EE3" w:rsidRDefault="000E0D06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67080,5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79535,2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0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2013</w:t>
            </w:r>
          </w:p>
        </w:tc>
        <w:tc>
          <w:tcPr>
            <w:tcW w:w="1520" w:type="dxa"/>
            <w:vAlign w:val="bottom"/>
          </w:tcPr>
          <w:p w:rsidR="00F17EE3" w:rsidRDefault="000E0D06">
            <w:pPr>
              <w:ind w:left="9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72405,5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F17EE3" w:rsidRDefault="000E0D06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60109,9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84701,1</w:t>
            </w:r>
          </w:p>
        </w:tc>
        <w:tc>
          <w:tcPr>
            <w:tcW w:w="1000" w:type="dxa"/>
            <w:vAlign w:val="bottom"/>
          </w:tcPr>
          <w:p w:rsidR="00F17EE3" w:rsidRDefault="000E0D06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65419,6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79391,4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0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2014</w:t>
            </w:r>
          </w:p>
        </w:tc>
        <w:tc>
          <w:tcPr>
            <w:tcW w:w="1520" w:type="dxa"/>
            <w:vAlign w:val="bottom"/>
          </w:tcPr>
          <w:p w:rsidR="00F17EE3" w:rsidRDefault="000E0D06">
            <w:pPr>
              <w:ind w:left="9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71503,2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F17EE3" w:rsidRDefault="000E0D06">
            <w:pPr>
              <w:ind w:left="3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58750,3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84256,1</w:t>
            </w:r>
          </w:p>
        </w:tc>
        <w:tc>
          <w:tcPr>
            <w:tcW w:w="1000" w:type="dxa"/>
            <w:vAlign w:val="bottom"/>
          </w:tcPr>
          <w:p w:rsidR="00F17EE3" w:rsidRDefault="000E0D06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63740,6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79265,8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0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2015</w:t>
            </w:r>
          </w:p>
        </w:tc>
        <w:tc>
          <w:tcPr>
            <w:tcW w:w="1520" w:type="dxa"/>
            <w:vAlign w:val="bottom"/>
          </w:tcPr>
          <w:p w:rsidR="00F17EE3" w:rsidRDefault="000E0D06">
            <w:pPr>
              <w:ind w:left="9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70600,9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F17EE3" w:rsidRDefault="000E0D06">
            <w:pPr>
              <w:ind w:left="3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57352,3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83849,4</w:t>
            </w:r>
          </w:p>
        </w:tc>
        <w:tc>
          <w:tcPr>
            <w:tcW w:w="1000" w:type="dxa"/>
            <w:vAlign w:val="bottom"/>
          </w:tcPr>
          <w:p w:rsidR="00F17EE3" w:rsidRDefault="000E0D06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62048,4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79153,4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0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2016</w:t>
            </w:r>
          </w:p>
        </w:tc>
        <w:tc>
          <w:tcPr>
            <w:tcW w:w="1520" w:type="dxa"/>
            <w:vAlign w:val="bottom"/>
          </w:tcPr>
          <w:p w:rsidR="00F17EE3" w:rsidRDefault="000E0D06">
            <w:pPr>
              <w:ind w:left="9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69698,5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F17EE3" w:rsidRDefault="000E0D06">
            <w:pPr>
              <w:ind w:left="3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55920,2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83476,9</w:t>
            </w:r>
          </w:p>
        </w:tc>
        <w:tc>
          <w:tcPr>
            <w:tcW w:w="1000" w:type="dxa"/>
            <w:vAlign w:val="bottom"/>
          </w:tcPr>
          <w:p w:rsidR="00F17EE3" w:rsidRDefault="000E0D06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60346,4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7EE3" w:rsidRDefault="000E0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79050,7</w:t>
            </w: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  <w:tr w:rsidR="00F17EE3">
        <w:trPr>
          <w:trHeight w:val="2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EE3" w:rsidRDefault="00F17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7EE3" w:rsidRDefault="00F17EE3">
            <w:pPr>
              <w:rPr>
                <w:sz w:val="1"/>
                <w:szCs w:val="1"/>
              </w:rPr>
            </w:pPr>
          </w:p>
        </w:tc>
      </w:tr>
    </w:tbl>
    <w:p w:rsidR="00F17EE3" w:rsidRDefault="00F17E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848;visibility:visible;mso-wrap-distance-left:0;mso-wrap-distance-right:0;mso-position-horizontal-relative:text;mso-position-vertical-relative:text" from=".15pt,7.75pt" to="467.9pt,7.75pt" o:allowincell="f" strokeweight="1.5pt"/>
        </w:pict>
      </w:r>
    </w:p>
    <w:p w:rsidR="00F17EE3" w:rsidRDefault="00F17EE3">
      <w:pPr>
        <w:sectPr w:rsidR="00F17EE3">
          <w:type w:val="continuous"/>
          <w:pgSz w:w="11620" w:h="16441"/>
          <w:pgMar w:top="645" w:right="1302" w:bottom="296" w:left="960" w:header="0" w:footer="0" w:gutter="0"/>
          <w:cols w:space="720" w:equalWidth="0">
            <w:col w:w="9360"/>
          </w:cols>
        </w:sectPr>
      </w:pPr>
    </w:p>
    <w:p w:rsidR="00F17EE3" w:rsidRDefault="00F17EE3">
      <w:pPr>
        <w:spacing w:line="191" w:lineRule="exact"/>
        <w:rPr>
          <w:sz w:val="20"/>
          <w:szCs w:val="20"/>
        </w:rPr>
      </w:pPr>
    </w:p>
    <w:p w:rsidR="00F17EE3" w:rsidRDefault="000E0D06">
      <w:pPr>
        <w:tabs>
          <w:tab w:val="left" w:pos="27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СТАТИСТИКА УКРАЇНИ, 2014, № 1</w:t>
      </w:r>
    </w:p>
    <w:p w:rsidR="00F17EE3" w:rsidRDefault="00F17EE3">
      <w:pPr>
        <w:sectPr w:rsidR="00F17EE3">
          <w:type w:val="continuous"/>
          <w:pgSz w:w="11620" w:h="16441"/>
          <w:pgMar w:top="645" w:right="1302" w:bottom="296" w:left="960" w:header="0" w:footer="0" w:gutter="0"/>
          <w:cols w:space="720" w:equalWidth="0">
            <w:col w:w="9360"/>
          </w:cols>
        </w:sectPr>
      </w:pPr>
    </w:p>
    <w:p w:rsidR="00F17EE3" w:rsidRDefault="000E0D06">
      <w:pPr>
        <w:jc w:val="center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b/>
          <w:bCs/>
        </w:rPr>
        <w:lastRenderedPageBreak/>
        <w:t>Статистика та економіка, аналіз</w:t>
      </w:r>
    </w:p>
    <w:p w:rsidR="00F17EE3" w:rsidRDefault="00F17E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3872;visibility:visible;mso-wrap-distance-left:0;mso-wrap-distance-right:0" from=".15pt,4.55pt" to="467.9pt,4.55pt" o:allowincell="f" strokeweight="1.5pt"/>
        </w:pict>
      </w:r>
    </w:p>
    <w:p w:rsidR="00F17EE3" w:rsidRDefault="00F17EE3">
      <w:pPr>
        <w:spacing w:line="301" w:lineRule="exact"/>
        <w:rPr>
          <w:sz w:val="20"/>
          <w:szCs w:val="20"/>
        </w:rPr>
      </w:pPr>
    </w:p>
    <w:p w:rsidR="00F17EE3" w:rsidRDefault="000E0D0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Список використаних джерел</w:t>
      </w:r>
    </w:p>
    <w:p w:rsidR="00F17EE3" w:rsidRDefault="00F17EE3">
      <w:pPr>
        <w:spacing w:line="83" w:lineRule="exact"/>
        <w:rPr>
          <w:sz w:val="20"/>
          <w:szCs w:val="20"/>
        </w:rPr>
      </w:pPr>
    </w:p>
    <w:p w:rsidR="00F17EE3" w:rsidRDefault="000E0D06">
      <w:pPr>
        <w:numPr>
          <w:ilvl w:val="0"/>
          <w:numId w:val="10"/>
        </w:numPr>
        <w:tabs>
          <w:tab w:val="left" w:pos="280"/>
        </w:tabs>
        <w:ind w:left="280" w:hanging="27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Четыркин Е. М. Статистические методы прогнозирования </w:t>
      </w:r>
      <w:r>
        <w:rPr>
          <w:rFonts w:eastAsia="Times New Roman"/>
          <w:sz w:val="18"/>
          <w:szCs w:val="18"/>
        </w:rPr>
        <w:t>/ М. Е. Четыркин. – М. : Статистика, 1977. – 199 с.</w:t>
      </w:r>
    </w:p>
    <w:p w:rsidR="00F17EE3" w:rsidRDefault="00F17EE3">
      <w:pPr>
        <w:spacing w:line="32" w:lineRule="exact"/>
        <w:rPr>
          <w:rFonts w:eastAsia="Times New Roman"/>
          <w:sz w:val="18"/>
          <w:szCs w:val="18"/>
        </w:rPr>
      </w:pPr>
    </w:p>
    <w:p w:rsidR="00F17EE3" w:rsidRDefault="000E0D06">
      <w:pPr>
        <w:numPr>
          <w:ilvl w:val="0"/>
          <w:numId w:val="10"/>
        </w:numPr>
        <w:tabs>
          <w:tab w:val="left" w:pos="180"/>
        </w:tabs>
        <w:spacing w:line="278" w:lineRule="auto"/>
        <w:ind w:firstLine="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Айвазян С. А. Прикладная статистика и основы эконометрики / С. А. Айвазян, В. С. Мхитарян­. – М. : ЮНИТИ, 1998. – 1022 с.</w:t>
      </w:r>
    </w:p>
    <w:p w:rsidR="00F17EE3" w:rsidRDefault="000E0D06">
      <w:pPr>
        <w:numPr>
          <w:ilvl w:val="0"/>
          <w:numId w:val="10"/>
        </w:numPr>
        <w:tabs>
          <w:tab w:val="left" w:pos="226"/>
        </w:tabs>
        <w:spacing w:line="278" w:lineRule="auto"/>
        <w:ind w:firstLine="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Дрейпер Н. Прикладной регрессионный анализ / Н. Дрейпер, Г. Смит; [2-е изд., пере</w:t>
      </w:r>
      <w:r>
        <w:rPr>
          <w:rFonts w:eastAsia="Times New Roman"/>
          <w:sz w:val="18"/>
          <w:szCs w:val="18"/>
        </w:rPr>
        <w:t>раб. и доп. Кн.1, 2. Пер. с англ.]. – М. : Финансы и статистика, 1986, 1987. – 366 с., 351 с.</w:t>
      </w:r>
    </w:p>
    <w:p w:rsidR="00F17EE3" w:rsidRDefault="000E0D06">
      <w:pPr>
        <w:numPr>
          <w:ilvl w:val="0"/>
          <w:numId w:val="11"/>
        </w:numPr>
        <w:tabs>
          <w:tab w:val="left" w:pos="180"/>
        </w:tabs>
        <w:ind w:left="180" w:hanging="17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Лук’яненко І. Г. Економетрика / І. Г. Лук’яненко, Л. І. Краснікова. – К. : Товариство “Знання”, КОО, 1998. – 494 с.</w:t>
      </w:r>
    </w:p>
    <w:p w:rsidR="00F17EE3" w:rsidRDefault="00F17EE3">
      <w:pPr>
        <w:spacing w:line="32" w:lineRule="exact"/>
        <w:rPr>
          <w:rFonts w:eastAsia="Times New Roman"/>
          <w:sz w:val="18"/>
          <w:szCs w:val="18"/>
        </w:rPr>
      </w:pPr>
    </w:p>
    <w:p w:rsidR="00F17EE3" w:rsidRDefault="000E0D06">
      <w:pPr>
        <w:numPr>
          <w:ilvl w:val="0"/>
          <w:numId w:val="12"/>
        </w:numPr>
        <w:tabs>
          <w:tab w:val="left" w:pos="177"/>
        </w:tabs>
        <w:spacing w:line="278" w:lineRule="auto"/>
        <w:ind w:firstLine="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Наконечний С. І. Економетрія : [підручник] / </w:t>
      </w:r>
      <w:r>
        <w:rPr>
          <w:rFonts w:eastAsia="Times New Roman"/>
          <w:sz w:val="18"/>
          <w:szCs w:val="18"/>
        </w:rPr>
        <w:t>С. І. Наконечний, Т. О. Терещен­ко, Т. П. Романюк; [вид.2-ге, допов. та перероб.]. – К. : КНЕУ, 2000. – 296 с.</w:t>
      </w:r>
    </w:p>
    <w:p w:rsidR="00F17EE3" w:rsidRDefault="000E0D06">
      <w:pPr>
        <w:numPr>
          <w:ilvl w:val="0"/>
          <w:numId w:val="12"/>
        </w:numPr>
        <w:tabs>
          <w:tab w:val="left" w:pos="283"/>
        </w:tabs>
        <w:spacing w:line="278" w:lineRule="auto"/>
        <w:ind w:firstLine="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Рубан-Максимець О. О. Оптимізаційні моделі прогнозування потреби в енергоресурсах на основі синтезу ме-тодів формування перспективного міжгалузев</w:t>
      </w:r>
      <w:r>
        <w:rPr>
          <w:rFonts w:eastAsia="Times New Roman"/>
          <w:sz w:val="18"/>
          <w:szCs w:val="18"/>
        </w:rPr>
        <w:t>ого та паливно-енергетичного балансів з урахуванням екологічних обмежень / О. О. Рубан-Максимець // Проблеми загальної енергетики. – 2010. – № 2 (22). – С. 12–17.</w:t>
      </w:r>
    </w:p>
    <w:p w:rsidR="00F17EE3" w:rsidRDefault="000E0D06">
      <w:pPr>
        <w:numPr>
          <w:ilvl w:val="0"/>
          <w:numId w:val="12"/>
        </w:numPr>
        <w:tabs>
          <w:tab w:val="left" w:pos="283"/>
        </w:tabs>
        <w:spacing w:line="281" w:lineRule="auto"/>
        <w:ind w:firstLine="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Толбатов Ю.А. Економетрія: [підручник для студ. екон. спеціальн. вищ. навч. закл.] / Ю. А. То</w:t>
      </w:r>
      <w:r>
        <w:rPr>
          <w:rFonts w:eastAsia="Times New Roman"/>
          <w:sz w:val="18"/>
          <w:szCs w:val="18"/>
        </w:rPr>
        <w:t>лбатов. – К. : Чет-верта хвиля, 1997. – 320 с.</w:t>
      </w: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Default="00F17EE3">
      <w:pPr>
        <w:spacing w:line="200" w:lineRule="exact"/>
        <w:rPr>
          <w:sz w:val="20"/>
          <w:szCs w:val="20"/>
        </w:rPr>
      </w:pPr>
    </w:p>
    <w:p w:rsidR="00F17EE3" w:rsidRPr="000E0D06" w:rsidRDefault="00F17EE3">
      <w:pPr>
        <w:spacing w:line="297" w:lineRule="exact"/>
        <w:rPr>
          <w:color w:val="FFFFFF" w:themeColor="background1"/>
          <w:sz w:val="20"/>
          <w:szCs w:val="20"/>
        </w:rPr>
      </w:pPr>
    </w:p>
    <w:p w:rsidR="00F17EE3" w:rsidRPr="000E0D06" w:rsidRDefault="000E0D06">
      <w:pPr>
        <w:tabs>
          <w:tab w:val="left" w:pos="8240"/>
        </w:tabs>
        <w:rPr>
          <w:color w:val="FFFFFF" w:themeColor="background1"/>
          <w:sz w:val="20"/>
          <w:szCs w:val="20"/>
        </w:rPr>
      </w:pPr>
      <w:r w:rsidRPr="000E0D06">
        <w:rPr>
          <w:rFonts w:eastAsia="Times New Roman"/>
          <w:b/>
          <w:bCs/>
          <w:color w:val="FFFFFF" w:themeColor="background1"/>
          <w:sz w:val="20"/>
          <w:szCs w:val="20"/>
        </w:rPr>
        <w:t>УДК 364.22 (477)</w:t>
      </w:r>
      <w:r w:rsidRPr="000E0D06">
        <w:rPr>
          <w:color w:val="FFFFFF" w:themeColor="background1"/>
          <w:sz w:val="20"/>
          <w:szCs w:val="20"/>
        </w:rPr>
        <w:tab/>
      </w:r>
      <w:r w:rsidRPr="000E0D06">
        <w:rPr>
          <w:rFonts w:ascii="Arial" w:eastAsia="Arial" w:hAnsi="Arial" w:cs="Arial"/>
          <w:b/>
          <w:bCs/>
          <w:i/>
          <w:iCs/>
          <w:color w:val="FFFFFF" w:themeColor="background1"/>
          <w:sz w:val="18"/>
          <w:szCs w:val="18"/>
        </w:rPr>
        <w:t>Г. М. Юрчик</w:t>
      </w:r>
    </w:p>
    <w:p w:rsidR="00F17EE3" w:rsidRPr="000E0D06" w:rsidRDefault="00F17EE3">
      <w:pPr>
        <w:spacing w:line="29" w:lineRule="exact"/>
        <w:rPr>
          <w:color w:val="FFFFFF" w:themeColor="background1"/>
          <w:sz w:val="20"/>
          <w:szCs w:val="20"/>
        </w:rPr>
      </w:pPr>
    </w:p>
    <w:p w:rsidR="00F17EE3" w:rsidRPr="000E0D06" w:rsidRDefault="000E0D06">
      <w:pPr>
        <w:jc w:val="right"/>
        <w:rPr>
          <w:color w:val="FFFFFF" w:themeColor="background1"/>
          <w:sz w:val="20"/>
          <w:szCs w:val="20"/>
        </w:rPr>
      </w:pPr>
      <w:r w:rsidRPr="000E0D06">
        <w:rPr>
          <w:rFonts w:ascii="Arial" w:eastAsia="Arial" w:hAnsi="Arial" w:cs="Arial"/>
          <w:i/>
          <w:iCs/>
          <w:color w:val="FFFFFF" w:themeColor="background1"/>
          <w:sz w:val="18"/>
          <w:szCs w:val="18"/>
        </w:rPr>
        <w:t>кандидат економічних наук, доцент,</w:t>
      </w:r>
    </w:p>
    <w:p w:rsidR="00F17EE3" w:rsidRPr="000E0D06" w:rsidRDefault="00F17EE3">
      <w:pPr>
        <w:spacing w:line="33" w:lineRule="exact"/>
        <w:rPr>
          <w:color w:val="FFFFFF" w:themeColor="background1"/>
          <w:sz w:val="20"/>
          <w:szCs w:val="20"/>
        </w:rPr>
      </w:pPr>
    </w:p>
    <w:p w:rsidR="00F17EE3" w:rsidRPr="000E0D06" w:rsidRDefault="000E0D06">
      <w:pPr>
        <w:jc w:val="right"/>
        <w:rPr>
          <w:color w:val="FFFFFF" w:themeColor="background1"/>
          <w:sz w:val="20"/>
          <w:szCs w:val="20"/>
        </w:rPr>
      </w:pPr>
      <w:r w:rsidRPr="000E0D06">
        <w:rPr>
          <w:rFonts w:ascii="Arial" w:eastAsia="Arial" w:hAnsi="Arial" w:cs="Arial"/>
          <w:b/>
          <w:bCs/>
          <w:i/>
          <w:iCs/>
          <w:color w:val="FFFFFF" w:themeColor="background1"/>
          <w:sz w:val="18"/>
          <w:szCs w:val="18"/>
        </w:rPr>
        <w:t>Н. М. Самолюк</w:t>
      </w:r>
    </w:p>
    <w:p w:rsidR="00F17EE3" w:rsidRPr="000E0D06" w:rsidRDefault="00F17EE3">
      <w:pPr>
        <w:spacing w:line="33" w:lineRule="exact"/>
        <w:rPr>
          <w:color w:val="FFFFFF" w:themeColor="background1"/>
          <w:sz w:val="20"/>
          <w:szCs w:val="20"/>
        </w:rPr>
      </w:pPr>
    </w:p>
    <w:p w:rsidR="00F17EE3" w:rsidRPr="000E0D06" w:rsidRDefault="000E0D06">
      <w:pPr>
        <w:jc w:val="right"/>
        <w:rPr>
          <w:color w:val="FFFFFF" w:themeColor="background1"/>
          <w:sz w:val="20"/>
          <w:szCs w:val="20"/>
        </w:rPr>
      </w:pPr>
      <w:r w:rsidRPr="000E0D06">
        <w:rPr>
          <w:rFonts w:ascii="Arial" w:eastAsia="Arial" w:hAnsi="Arial" w:cs="Arial"/>
          <w:i/>
          <w:iCs/>
          <w:color w:val="FFFFFF" w:themeColor="background1"/>
          <w:sz w:val="18"/>
          <w:szCs w:val="18"/>
        </w:rPr>
        <w:t>кандидат економічних наук, доцент,</w:t>
      </w:r>
    </w:p>
    <w:p w:rsidR="00F17EE3" w:rsidRPr="000E0D06" w:rsidRDefault="00F17EE3">
      <w:pPr>
        <w:spacing w:line="33" w:lineRule="exact"/>
        <w:rPr>
          <w:color w:val="FFFFFF" w:themeColor="background1"/>
          <w:sz w:val="20"/>
          <w:szCs w:val="20"/>
        </w:rPr>
      </w:pPr>
    </w:p>
    <w:p w:rsidR="00F17EE3" w:rsidRPr="000E0D06" w:rsidRDefault="000E0D06">
      <w:pPr>
        <w:jc w:val="right"/>
        <w:rPr>
          <w:color w:val="FFFFFF" w:themeColor="background1"/>
          <w:sz w:val="20"/>
          <w:szCs w:val="20"/>
        </w:rPr>
      </w:pPr>
      <w:r w:rsidRPr="000E0D06">
        <w:rPr>
          <w:rFonts w:ascii="Arial" w:eastAsia="Arial" w:hAnsi="Arial" w:cs="Arial"/>
          <w:i/>
          <w:iCs/>
          <w:color w:val="FFFFFF" w:themeColor="background1"/>
          <w:sz w:val="18"/>
          <w:szCs w:val="18"/>
        </w:rPr>
        <w:t>Національний університет водного</w:t>
      </w:r>
    </w:p>
    <w:p w:rsidR="00F17EE3" w:rsidRPr="000E0D06" w:rsidRDefault="00F17EE3">
      <w:pPr>
        <w:spacing w:line="33" w:lineRule="exact"/>
        <w:rPr>
          <w:color w:val="FFFFFF" w:themeColor="background1"/>
          <w:sz w:val="20"/>
          <w:szCs w:val="20"/>
        </w:rPr>
      </w:pPr>
    </w:p>
    <w:p w:rsidR="00F17EE3" w:rsidRPr="000E0D06" w:rsidRDefault="000E0D06">
      <w:pPr>
        <w:jc w:val="right"/>
        <w:rPr>
          <w:color w:val="FFFFFF" w:themeColor="background1"/>
          <w:sz w:val="20"/>
          <w:szCs w:val="20"/>
        </w:rPr>
      </w:pPr>
      <w:r w:rsidRPr="000E0D06">
        <w:rPr>
          <w:rFonts w:ascii="Arial" w:eastAsia="Arial" w:hAnsi="Arial" w:cs="Arial"/>
          <w:i/>
          <w:iCs/>
          <w:color w:val="FFFFFF" w:themeColor="background1"/>
          <w:sz w:val="18"/>
          <w:szCs w:val="18"/>
        </w:rPr>
        <w:t>господарства та природокористування</w:t>
      </w:r>
    </w:p>
    <w:p w:rsidR="00F17EE3" w:rsidRPr="000E0D06" w:rsidRDefault="00F17EE3">
      <w:pPr>
        <w:spacing w:line="253" w:lineRule="exact"/>
        <w:rPr>
          <w:color w:val="FFFFFF" w:themeColor="background1"/>
          <w:sz w:val="20"/>
          <w:szCs w:val="20"/>
        </w:rPr>
      </w:pPr>
    </w:p>
    <w:p w:rsidR="00F17EE3" w:rsidRPr="000E0D06" w:rsidRDefault="000E0D06">
      <w:pPr>
        <w:jc w:val="center"/>
        <w:rPr>
          <w:color w:val="FFFFFF" w:themeColor="background1"/>
          <w:sz w:val="20"/>
          <w:szCs w:val="20"/>
        </w:rPr>
      </w:pPr>
      <w:r w:rsidRPr="000E0D06"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t xml:space="preserve">Аналіз та </w:t>
      </w:r>
      <w:r w:rsidRPr="000E0D06"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t>механізми подолання бідності в Україні</w:t>
      </w:r>
    </w:p>
    <w:p w:rsidR="00F17EE3" w:rsidRPr="000E0D06" w:rsidRDefault="00F17EE3">
      <w:pPr>
        <w:spacing w:line="202" w:lineRule="exact"/>
        <w:rPr>
          <w:color w:val="FFFFFF" w:themeColor="background1"/>
          <w:sz w:val="20"/>
          <w:szCs w:val="20"/>
        </w:rPr>
      </w:pPr>
    </w:p>
    <w:p w:rsidR="00F17EE3" w:rsidRPr="000E0D06" w:rsidRDefault="000E0D06">
      <w:pPr>
        <w:spacing w:line="249" w:lineRule="auto"/>
        <w:ind w:firstLine="340"/>
        <w:jc w:val="both"/>
        <w:rPr>
          <w:color w:val="FFFFFF" w:themeColor="background1"/>
          <w:sz w:val="20"/>
          <w:szCs w:val="20"/>
        </w:rPr>
      </w:pPr>
      <w:proofErr w:type="gramStart"/>
      <w:r w:rsidRPr="000E0D06">
        <w:rPr>
          <w:rFonts w:eastAsia="Times New Roman"/>
          <w:color w:val="FFFFFF" w:themeColor="background1"/>
          <w:sz w:val="20"/>
          <w:szCs w:val="20"/>
        </w:rPr>
        <w:t>Досл</w:t>
      </w:r>
      <w:proofErr w:type="gramEnd"/>
      <w:r w:rsidRPr="000E0D06">
        <w:rPr>
          <w:rFonts w:eastAsia="Times New Roman"/>
          <w:color w:val="FFFFFF" w:themeColor="background1"/>
          <w:sz w:val="20"/>
          <w:szCs w:val="20"/>
        </w:rPr>
        <w:t>іджено сутність та концепції бідності, узагальнено підходи до її ідентифікації за різними кри-теріями. Проведено статистичне порівняння масштабі</w:t>
      </w:r>
      <w:proofErr w:type="gramStart"/>
      <w:r w:rsidRPr="000E0D06">
        <w:rPr>
          <w:rFonts w:eastAsia="Times New Roman"/>
          <w:color w:val="FFFFFF" w:themeColor="background1"/>
          <w:sz w:val="20"/>
          <w:szCs w:val="20"/>
        </w:rPr>
        <w:t>в</w:t>
      </w:r>
      <w:proofErr w:type="gramEnd"/>
      <w:r w:rsidRPr="000E0D06">
        <w:rPr>
          <w:rFonts w:eastAsia="Times New Roman"/>
          <w:color w:val="FFFFFF" w:themeColor="background1"/>
          <w:sz w:val="20"/>
          <w:szCs w:val="20"/>
        </w:rPr>
        <w:t xml:space="preserve"> та тенденцій бідності в Україні як за об’єктив-ними, так і за суб’</w:t>
      </w:r>
      <w:r w:rsidRPr="000E0D06">
        <w:rPr>
          <w:rFonts w:eastAsia="Times New Roman"/>
          <w:color w:val="FFFFFF" w:themeColor="background1"/>
          <w:sz w:val="20"/>
          <w:szCs w:val="20"/>
        </w:rPr>
        <w:t xml:space="preserve">єктивними критеріями. </w:t>
      </w:r>
      <w:proofErr w:type="gramStart"/>
      <w:r w:rsidRPr="000E0D06">
        <w:rPr>
          <w:rFonts w:eastAsia="Times New Roman"/>
          <w:color w:val="FFFFFF" w:themeColor="background1"/>
          <w:sz w:val="20"/>
          <w:szCs w:val="20"/>
        </w:rPr>
        <w:t>Досл</w:t>
      </w:r>
      <w:proofErr w:type="gramEnd"/>
      <w:r w:rsidRPr="000E0D06">
        <w:rPr>
          <w:rFonts w:eastAsia="Times New Roman"/>
          <w:color w:val="FFFFFF" w:themeColor="background1"/>
          <w:sz w:val="20"/>
          <w:szCs w:val="20"/>
        </w:rPr>
        <w:t>іджено механізм подолання бідності в Україні в розрізі основних інструментів пасивної та активної політики.</w:t>
      </w:r>
    </w:p>
    <w:p w:rsidR="00F17EE3" w:rsidRPr="000E0D06" w:rsidRDefault="00F17EE3">
      <w:pPr>
        <w:spacing w:line="1" w:lineRule="exact"/>
        <w:rPr>
          <w:color w:val="FFFFFF" w:themeColor="background1"/>
          <w:sz w:val="20"/>
          <w:szCs w:val="20"/>
        </w:rPr>
      </w:pPr>
    </w:p>
    <w:p w:rsidR="00F17EE3" w:rsidRPr="000E0D06" w:rsidRDefault="000E0D06">
      <w:pPr>
        <w:spacing w:line="258" w:lineRule="auto"/>
        <w:ind w:firstLine="340"/>
        <w:jc w:val="both"/>
        <w:rPr>
          <w:color w:val="FFFFFF" w:themeColor="background1"/>
          <w:sz w:val="20"/>
          <w:szCs w:val="20"/>
        </w:rPr>
      </w:pPr>
      <w:r w:rsidRPr="000E0D06">
        <w:rPr>
          <w:rFonts w:eastAsia="Times New Roman"/>
          <w:b/>
          <w:bCs/>
          <w:i/>
          <w:iCs/>
          <w:color w:val="FFFFFF" w:themeColor="background1"/>
          <w:sz w:val="20"/>
          <w:szCs w:val="20"/>
        </w:rPr>
        <w:t xml:space="preserve">Ключові слова: </w:t>
      </w:r>
      <w:r w:rsidRPr="000E0D06">
        <w:rPr>
          <w:rFonts w:eastAsia="Times New Roman"/>
          <w:i/>
          <w:iCs/>
          <w:color w:val="FFFFFF" w:themeColor="background1"/>
          <w:sz w:val="20"/>
          <w:szCs w:val="20"/>
        </w:rPr>
        <w:t>бідність, критерії бідності, оцінювання бідності, межа бідності, прожитковий</w:t>
      </w:r>
      <w:r w:rsidRPr="000E0D06">
        <w:rPr>
          <w:rFonts w:eastAsia="Times New Roman"/>
          <w:b/>
          <w:bCs/>
          <w:i/>
          <w:iCs/>
          <w:color w:val="FFFFFF" w:themeColor="background1"/>
          <w:sz w:val="20"/>
          <w:szCs w:val="20"/>
        </w:rPr>
        <w:t xml:space="preserve"> </w:t>
      </w:r>
      <w:r w:rsidRPr="000E0D06">
        <w:rPr>
          <w:rFonts w:eastAsia="Times New Roman"/>
          <w:i/>
          <w:iCs/>
          <w:color w:val="FFFFFF" w:themeColor="background1"/>
          <w:sz w:val="20"/>
          <w:szCs w:val="20"/>
        </w:rPr>
        <w:t xml:space="preserve">мінімум, абсолютна бідність, </w:t>
      </w:r>
      <w:r w:rsidRPr="000E0D06">
        <w:rPr>
          <w:rFonts w:eastAsia="Times New Roman"/>
          <w:i/>
          <w:iCs/>
          <w:color w:val="FFFFFF" w:themeColor="background1"/>
          <w:sz w:val="20"/>
          <w:szCs w:val="20"/>
        </w:rPr>
        <w:t>відносна бідність.</w:t>
      </w:r>
    </w:p>
    <w:p w:rsidR="00F17EE3" w:rsidRPr="000E0D06" w:rsidRDefault="00F17EE3">
      <w:pPr>
        <w:rPr>
          <w:color w:val="FFFFFF" w:themeColor="background1"/>
        </w:rPr>
        <w:sectPr w:rsidR="00F17EE3" w:rsidRPr="000E0D06">
          <w:pgSz w:w="11620" w:h="16441"/>
          <w:pgMar w:top="645" w:right="962" w:bottom="296" w:left="1300" w:header="0" w:footer="0" w:gutter="0"/>
          <w:cols w:space="720" w:equalWidth="0">
            <w:col w:w="9360"/>
          </w:cols>
        </w:sectPr>
      </w:pPr>
    </w:p>
    <w:p w:rsidR="00F17EE3" w:rsidRPr="000E0D06" w:rsidRDefault="00F17EE3">
      <w:pPr>
        <w:spacing w:line="231" w:lineRule="exact"/>
        <w:rPr>
          <w:color w:val="FFFFFF" w:themeColor="background1"/>
          <w:sz w:val="20"/>
          <w:szCs w:val="20"/>
        </w:rPr>
      </w:pPr>
    </w:p>
    <w:p w:rsidR="00F17EE3" w:rsidRPr="000E0D06" w:rsidRDefault="000E0D06">
      <w:pPr>
        <w:spacing w:line="250" w:lineRule="auto"/>
        <w:ind w:firstLine="340"/>
        <w:jc w:val="both"/>
        <w:rPr>
          <w:color w:val="FFFFFF" w:themeColor="background1"/>
          <w:sz w:val="20"/>
          <w:szCs w:val="20"/>
        </w:rPr>
      </w:pPr>
      <w:r w:rsidRPr="000E0D06">
        <w:rPr>
          <w:rFonts w:eastAsia="Times New Roman"/>
          <w:color w:val="FFFFFF" w:themeColor="background1"/>
          <w:sz w:val="20"/>
          <w:szCs w:val="20"/>
        </w:rPr>
        <w:t xml:space="preserve">Навіть сьогодні, незважаючи на очевидний ци-вілізаційний поступ, можливості людського роз-витку у </w:t>
      </w:r>
      <w:proofErr w:type="gramStart"/>
      <w:r w:rsidRPr="000E0D06">
        <w:rPr>
          <w:rFonts w:eastAsia="Times New Roman"/>
          <w:color w:val="FFFFFF" w:themeColor="background1"/>
          <w:sz w:val="20"/>
          <w:szCs w:val="20"/>
        </w:rPr>
        <w:t>св</w:t>
      </w:r>
      <w:proofErr w:type="gramEnd"/>
      <w:r w:rsidRPr="000E0D06">
        <w:rPr>
          <w:rFonts w:eastAsia="Times New Roman"/>
          <w:color w:val="FFFFFF" w:themeColor="background1"/>
          <w:sz w:val="20"/>
          <w:szCs w:val="20"/>
        </w:rPr>
        <w:t xml:space="preserve">іті залишаються нерівними. Негативним </w:t>
      </w:r>
      <w:proofErr w:type="gramStart"/>
      <w:r w:rsidRPr="000E0D06">
        <w:rPr>
          <w:rFonts w:eastAsia="Times New Roman"/>
          <w:color w:val="FFFFFF" w:themeColor="background1"/>
          <w:sz w:val="20"/>
          <w:szCs w:val="20"/>
        </w:rPr>
        <w:t>соц</w:t>
      </w:r>
      <w:proofErr w:type="gramEnd"/>
      <w:r w:rsidRPr="000E0D06">
        <w:rPr>
          <w:rFonts w:eastAsia="Times New Roman"/>
          <w:color w:val="FFFFFF" w:themeColor="background1"/>
          <w:sz w:val="20"/>
          <w:szCs w:val="20"/>
        </w:rPr>
        <w:t xml:space="preserve">іально-економічним наслідком нерівних мож-ливостей є бідність, яка </w:t>
      </w:r>
      <w:r w:rsidRPr="000E0D06">
        <w:rPr>
          <w:rFonts w:eastAsia="Times New Roman"/>
          <w:color w:val="FFFFFF" w:themeColor="background1"/>
          <w:sz w:val="20"/>
          <w:szCs w:val="20"/>
        </w:rPr>
        <w:t xml:space="preserve">трансформується в низький рівень розвитку людського потенціалу, що, в свою чергу, знову відтворює бідність та соціально-еко-номічну нерівність. Недарма в Декларації тисячо-ліття ООН важливою ціллю </w:t>
      </w:r>
      <w:proofErr w:type="gramStart"/>
      <w:r w:rsidRPr="000E0D06">
        <w:rPr>
          <w:rFonts w:eastAsia="Times New Roman"/>
          <w:color w:val="FFFFFF" w:themeColor="background1"/>
          <w:sz w:val="20"/>
          <w:szCs w:val="20"/>
        </w:rPr>
        <w:t>соц</w:t>
      </w:r>
      <w:proofErr w:type="gramEnd"/>
      <w:r w:rsidRPr="000E0D06">
        <w:rPr>
          <w:rFonts w:eastAsia="Times New Roman"/>
          <w:color w:val="FFFFFF" w:themeColor="background1"/>
          <w:sz w:val="20"/>
          <w:szCs w:val="20"/>
        </w:rPr>
        <w:t>іального розвитку визначено зменшення бідності населення</w:t>
      </w:r>
      <w:r w:rsidRPr="000E0D06">
        <w:rPr>
          <w:rFonts w:eastAsia="Times New Roman"/>
          <w:color w:val="FFFFFF" w:themeColor="background1"/>
          <w:sz w:val="20"/>
          <w:szCs w:val="20"/>
        </w:rPr>
        <w:t>. В умовах повільної адаптації національної економіки до рин-кових умов, неконкурентоспроможності низки галу-зей та виробництв, переважанні низькооплачуваних робочих місць проблема бідності в Україні набуває хронічних ознак, що особливо актуалізує її науко</w:t>
      </w:r>
      <w:r w:rsidRPr="000E0D06">
        <w:rPr>
          <w:rFonts w:eastAsia="Times New Roman"/>
          <w:color w:val="FFFFFF" w:themeColor="background1"/>
          <w:sz w:val="20"/>
          <w:szCs w:val="20"/>
        </w:rPr>
        <w:t xml:space="preserve">ве </w:t>
      </w:r>
      <w:proofErr w:type="gramStart"/>
      <w:r w:rsidRPr="000E0D06">
        <w:rPr>
          <w:rFonts w:eastAsia="Times New Roman"/>
          <w:color w:val="FFFFFF" w:themeColor="background1"/>
          <w:sz w:val="20"/>
          <w:szCs w:val="20"/>
        </w:rPr>
        <w:t>досл</w:t>
      </w:r>
      <w:proofErr w:type="gramEnd"/>
      <w:r w:rsidRPr="000E0D06">
        <w:rPr>
          <w:rFonts w:eastAsia="Times New Roman"/>
          <w:color w:val="FFFFFF" w:themeColor="background1"/>
          <w:sz w:val="20"/>
          <w:szCs w:val="20"/>
        </w:rPr>
        <w:t>ідження.</w:t>
      </w:r>
    </w:p>
    <w:p w:rsidR="00F17EE3" w:rsidRPr="000E0D06" w:rsidRDefault="00F17EE3">
      <w:pPr>
        <w:spacing w:line="7" w:lineRule="exact"/>
        <w:rPr>
          <w:color w:val="FFFFFF" w:themeColor="background1"/>
          <w:sz w:val="20"/>
          <w:szCs w:val="20"/>
        </w:rPr>
      </w:pPr>
    </w:p>
    <w:p w:rsidR="00F17EE3" w:rsidRPr="000E0D06" w:rsidRDefault="000E0D06">
      <w:pPr>
        <w:numPr>
          <w:ilvl w:val="0"/>
          <w:numId w:val="13"/>
        </w:numPr>
        <w:tabs>
          <w:tab w:val="left" w:pos="530"/>
        </w:tabs>
        <w:spacing w:line="250" w:lineRule="auto"/>
        <w:ind w:firstLine="344"/>
        <w:jc w:val="both"/>
        <w:rPr>
          <w:rFonts w:eastAsia="Times New Roman"/>
          <w:color w:val="FFFFFF" w:themeColor="background1"/>
          <w:sz w:val="20"/>
          <w:szCs w:val="20"/>
        </w:rPr>
      </w:pPr>
      <w:r w:rsidRPr="000E0D06">
        <w:rPr>
          <w:rFonts w:eastAsia="Times New Roman"/>
          <w:color w:val="FFFFFF" w:themeColor="background1"/>
          <w:sz w:val="20"/>
          <w:szCs w:val="20"/>
        </w:rPr>
        <w:t>умовах сьогодення проблема бідності набуває багатомірності. Бідність як глобальна проблема роз-виткузнаходитьсяуцентріувагитакихміжнародних організацій як Світовий банк, Організація</w:t>
      </w:r>
      <w:proofErr w:type="gramStart"/>
      <w:r w:rsidRPr="000E0D06">
        <w:rPr>
          <w:rFonts w:eastAsia="Times New Roman"/>
          <w:color w:val="FFFFFF" w:themeColor="background1"/>
          <w:sz w:val="20"/>
          <w:szCs w:val="20"/>
        </w:rPr>
        <w:t xml:space="preserve"> О</w:t>
      </w:r>
      <w:proofErr w:type="gramEnd"/>
      <w:r w:rsidRPr="000E0D06">
        <w:rPr>
          <w:rFonts w:eastAsia="Times New Roman"/>
          <w:color w:val="FFFFFF" w:themeColor="background1"/>
          <w:sz w:val="20"/>
          <w:szCs w:val="20"/>
        </w:rPr>
        <w:t>б’єдна-них Націй, Міжнародна організація праці, Всесвітн</w:t>
      </w:r>
      <w:r w:rsidRPr="000E0D06">
        <w:rPr>
          <w:rFonts w:eastAsia="Times New Roman"/>
          <w:color w:val="FFFFFF" w:themeColor="background1"/>
          <w:sz w:val="20"/>
          <w:szCs w:val="20"/>
        </w:rPr>
        <w:t>я організація охорони здоров’я тощо. Проблема бідно-сті як у глобальному, так і у національному вимі</w:t>
      </w:r>
      <w:proofErr w:type="gramStart"/>
      <w:r w:rsidRPr="000E0D06">
        <w:rPr>
          <w:rFonts w:eastAsia="Times New Roman"/>
          <w:color w:val="FFFFFF" w:themeColor="background1"/>
          <w:sz w:val="20"/>
          <w:szCs w:val="20"/>
        </w:rPr>
        <w:t>р</w:t>
      </w:r>
      <w:proofErr w:type="gramEnd"/>
      <w:r w:rsidRPr="000E0D06">
        <w:rPr>
          <w:rFonts w:eastAsia="Times New Roman"/>
          <w:color w:val="FFFFFF" w:themeColor="background1"/>
          <w:sz w:val="20"/>
          <w:szCs w:val="20"/>
        </w:rPr>
        <w:t>і є</w:t>
      </w:r>
    </w:p>
    <w:p w:rsidR="00F17EE3" w:rsidRPr="000E0D06" w:rsidRDefault="00F17EE3">
      <w:pPr>
        <w:spacing w:line="20" w:lineRule="exact"/>
        <w:rPr>
          <w:color w:val="FFFFFF" w:themeColor="background1"/>
          <w:sz w:val="20"/>
          <w:szCs w:val="20"/>
        </w:rPr>
      </w:pPr>
      <w:r w:rsidRPr="000E0D06">
        <w:rPr>
          <w:color w:val="FFFFFF" w:themeColor="background1"/>
          <w:sz w:val="20"/>
          <w:szCs w:val="20"/>
        </w:rPr>
        <w:pict>
          <v:line id="Shape 16" o:spid="_x0000_s1041" style="position:absolute;z-index:251664896;visibility:visible;mso-wrap-distance-left:0;mso-wrap-distance-right:0" from=".15pt,11.7pt" to="51.2pt,11.7pt" o:allowincell="f" strokeweight=".5pt"/>
        </w:pict>
      </w:r>
    </w:p>
    <w:p w:rsidR="00F17EE3" w:rsidRPr="000E0D06" w:rsidRDefault="00F17EE3">
      <w:pPr>
        <w:spacing w:line="279" w:lineRule="exact"/>
        <w:rPr>
          <w:color w:val="FFFFFF" w:themeColor="background1"/>
          <w:sz w:val="20"/>
          <w:szCs w:val="20"/>
        </w:rPr>
      </w:pPr>
    </w:p>
    <w:p w:rsidR="00F17EE3" w:rsidRPr="000E0D06" w:rsidRDefault="000E0D06">
      <w:pPr>
        <w:rPr>
          <w:color w:val="FFFFFF" w:themeColor="background1"/>
          <w:sz w:val="20"/>
          <w:szCs w:val="20"/>
        </w:rPr>
      </w:pPr>
      <w:r w:rsidRPr="000E0D06">
        <w:rPr>
          <w:rFonts w:ascii="Arial" w:eastAsia="Arial" w:hAnsi="Arial" w:cs="Arial"/>
          <w:i/>
          <w:iCs/>
          <w:color w:val="FFFFFF" w:themeColor="background1"/>
          <w:sz w:val="16"/>
          <w:szCs w:val="16"/>
        </w:rPr>
        <w:t>© Г. М. Юрчик, Н. М. Самолюк</w:t>
      </w:r>
    </w:p>
    <w:p w:rsidR="00F17EE3" w:rsidRPr="000E0D06" w:rsidRDefault="000E0D06">
      <w:pPr>
        <w:spacing w:line="20" w:lineRule="exact"/>
        <w:rPr>
          <w:color w:val="FFFFFF" w:themeColor="background1"/>
          <w:sz w:val="20"/>
          <w:szCs w:val="20"/>
        </w:rPr>
      </w:pPr>
      <w:r w:rsidRPr="000E0D06">
        <w:rPr>
          <w:color w:val="FFFFFF" w:themeColor="background1"/>
          <w:sz w:val="20"/>
          <w:szCs w:val="20"/>
        </w:rPr>
        <w:br w:type="column"/>
      </w:r>
    </w:p>
    <w:p w:rsidR="00F17EE3" w:rsidRPr="000E0D06" w:rsidRDefault="00F17EE3">
      <w:pPr>
        <w:spacing w:line="211" w:lineRule="exact"/>
        <w:rPr>
          <w:color w:val="FFFFFF" w:themeColor="background1"/>
          <w:sz w:val="20"/>
          <w:szCs w:val="20"/>
        </w:rPr>
      </w:pPr>
    </w:p>
    <w:p w:rsidR="00F17EE3" w:rsidRPr="000E0D06" w:rsidRDefault="000E0D06">
      <w:pPr>
        <w:spacing w:line="250" w:lineRule="auto"/>
        <w:jc w:val="both"/>
        <w:rPr>
          <w:color w:val="FFFFFF" w:themeColor="background1"/>
          <w:sz w:val="20"/>
          <w:szCs w:val="20"/>
        </w:rPr>
      </w:pPr>
      <w:r w:rsidRPr="000E0D06">
        <w:rPr>
          <w:rFonts w:eastAsia="Times New Roman"/>
          <w:color w:val="FFFFFF" w:themeColor="background1"/>
          <w:sz w:val="20"/>
          <w:szCs w:val="20"/>
        </w:rPr>
        <w:t xml:space="preserve">предметом жвавих дискусій та аргументом боротьби за електорат серед політиків. Крім того, вивчення </w:t>
      </w:r>
      <w:proofErr w:type="gramStart"/>
      <w:r w:rsidRPr="000E0D06">
        <w:rPr>
          <w:rFonts w:eastAsia="Times New Roman"/>
          <w:color w:val="FFFFFF" w:themeColor="background1"/>
          <w:sz w:val="20"/>
          <w:szCs w:val="20"/>
        </w:rPr>
        <w:t>р</w:t>
      </w:r>
      <w:proofErr w:type="gramEnd"/>
      <w:r w:rsidRPr="000E0D06">
        <w:rPr>
          <w:rFonts w:eastAsia="Times New Roman"/>
          <w:color w:val="FFFFFF" w:themeColor="background1"/>
          <w:sz w:val="20"/>
          <w:szCs w:val="20"/>
        </w:rPr>
        <w:t xml:space="preserve">ізних аспектів </w:t>
      </w:r>
      <w:r w:rsidRPr="000E0D06">
        <w:rPr>
          <w:rFonts w:eastAsia="Times New Roman"/>
          <w:color w:val="FFFFFF" w:themeColor="background1"/>
          <w:sz w:val="20"/>
          <w:szCs w:val="20"/>
        </w:rPr>
        <w:t xml:space="preserve">бідності давно перебуває в центрі уваги вчених як з числа економістів, так і соціоло-гів. Зокрема, бідність є наріжним каменем наукових досліджень таких європейських вчених як К. Оп-пенгейм, Л. Харкер, Е. Гідденс, О. Льюїс, А. Аткін-сон. </w:t>
      </w:r>
      <w:proofErr w:type="gramStart"/>
      <w:r w:rsidRPr="000E0D06">
        <w:rPr>
          <w:rFonts w:eastAsia="Times New Roman"/>
          <w:color w:val="FFFFFF" w:themeColor="background1"/>
          <w:sz w:val="20"/>
          <w:szCs w:val="20"/>
        </w:rPr>
        <w:t>З</w:t>
      </w:r>
      <w:proofErr w:type="gramEnd"/>
      <w:r w:rsidRPr="000E0D06">
        <w:rPr>
          <w:rFonts w:eastAsia="Times New Roman"/>
          <w:color w:val="FFFFFF" w:themeColor="background1"/>
          <w:sz w:val="20"/>
          <w:szCs w:val="20"/>
        </w:rPr>
        <w:t xml:space="preserve"> серед українськи</w:t>
      </w:r>
      <w:r w:rsidRPr="000E0D06">
        <w:rPr>
          <w:rFonts w:eastAsia="Times New Roman"/>
          <w:color w:val="FFFFFF" w:themeColor="background1"/>
          <w:sz w:val="20"/>
          <w:szCs w:val="20"/>
        </w:rPr>
        <w:t>х дослідників цим питанням присвятили свої праці Е. М. Лібанова, Л. М. Черень-ко, В. М. Новікова, А. П. Ревенко, Ю. І. Саєнко та ін. Цінними у контексті дослідження бідності є, безза-перечно, і наукові праці, що присвячені проблемам рівня та якості життя.</w:t>
      </w:r>
    </w:p>
    <w:p w:rsidR="00F17EE3" w:rsidRPr="000E0D06" w:rsidRDefault="00F17EE3">
      <w:pPr>
        <w:spacing w:line="6" w:lineRule="exact"/>
        <w:rPr>
          <w:color w:val="FFFFFF" w:themeColor="background1"/>
          <w:sz w:val="20"/>
          <w:szCs w:val="20"/>
        </w:rPr>
      </w:pPr>
    </w:p>
    <w:p w:rsidR="00F17EE3" w:rsidRPr="000E0D06" w:rsidRDefault="000E0D06">
      <w:pPr>
        <w:spacing w:line="250" w:lineRule="auto"/>
        <w:ind w:firstLine="340"/>
        <w:jc w:val="both"/>
        <w:rPr>
          <w:color w:val="FFFFFF" w:themeColor="background1"/>
          <w:sz w:val="20"/>
          <w:szCs w:val="20"/>
        </w:rPr>
      </w:pPr>
      <w:r w:rsidRPr="000E0D06">
        <w:rPr>
          <w:rFonts w:eastAsia="Times New Roman"/>
          <w:color w:val="FFFFFF" w:themeColor="background1"/>
          <w:sz w:val="20"/>
          <w:szCs w:val="20"/>
        </w:rPr>
        <w:t xml:space="preserve">Попри значний інтерес наукової спільноти до проблем бідності існує досить значний комплекс пи-тань </w:t>
      </w:r>
      <w:proofErr w:type="gramStart"/>
      <w:r w:rsidRPr="000E0D06">
        <w:rPr>
          <w:rFonts w:eastAsia="Times New Roman"/>
          <w:color w:val="FFFFFF" w:themeColor="background1"/>
          <w:sz w:val="20"/>
          <w:szCs w:val="20"/>
        </w:rPr>
        <w:t>у</w:t>
      </w:r>
      <w:proofErr w:type="gramEnd"/>
      <w:r w:rsidRPr="000E0D06">
        <w:rPr>
          <w:rFonts w:eastAsia="Times New Roman"/>
          <w:color w:val="FFFFFF" w:themeColor="background1"/>
          <w:sz w:val="20"/>
          <w:szCs w:val="20"/>
        </w:rPr>
        <w:t xml:space="preserve"> відповідній царині, </w:t>
      </w:r>
      <w:proofErr w:type="gramStart"/>
      <w:r w:rsidRPr="000E0D06">
        <w:rPr>
          <w:rFonts w:eastAsia="Times New Roman"/>
          <w:color w:val="FFFFFF" w:themeColor="background1"/>
          <w:sz w:val="20"/>
          <w:szCs w:val="20"/>
        </w:rPr>
        <w:t>як</w:t>
      </w:r>
      <w:proofErr w:type="gramEnd"/>
      <w:r w:rsidRPr="000E0D06">
        <w:rPr>
          <w:rFonts w:eastAsia="Times New Roman"/>
          <w:color w:val="FFFFFF" w:themeColor="background1"/>
          <w:sz w:val="20"/>
          <w:szCs w:val="20"/>
        </w:rPr>
        <w:t>і потребують додатко-вих наукових розвідок.</w:t>
      </w:r>
    </w:p>
    <w:p w:rsidR="00F17EE3" w:rsidRPr="000E0D06" w:rsidRDefault="00F17EE3">
      <w:pPr>
        <w:spacing w:line="2" w:lineRule="exact"/>
        <w:rPr>
          <w:color w:val="FFFFFF" w:themeColor="background1"/>
          <w:sz w:val="20"/>
          <w:szCs w:val="20"/>
        </w:rPr>
      </w:pPr>
    </w:p>
    <w:p w:rsidR="00F17EE3" w:rsidRPr="000E0D06" w:rsidRDefault="000E0D06">
      <w:pPr>
        <w:spacing w:line="250" w:lineRule="auto"/>
        <w:ind w:firstLine="340"/>
        <w:jc w:val="both"/>
        <w:rPr>
          <w:color w:val="FFFFFF" w:themeColor="background1"/>
          <w:sz w:val="20"/>
          <w:szCs w:val="20"/>
        </w:rPr>
      </w:pPr>
      <w:r w:rsidRPr="000E0D06">
        <w:rPr>
          <w:rFonts w:eastAsia="Times New Roman"/>
          <w:color w:val="FFFFFF" w:themeColor="background1"/>
          <w:sz w:val="20"/>
          <w:szCs w:val="20"/>
        </w:rPr>
        <w:t xml:space="preserve">Зокрема, вбачається за </w:t>
      </w:r>
      <w:proofErr w:type="gramStart"/>
      <w:r w:rsidRPr="000E0D06">
        <w:rPr>
          <w:rFonts w:eastAsia="Times New Roman"/>
          <w:color w:val="FFFFFF" w:themeColor="background1"/>
          <w:sz w:val="20"/>
          <w:szCs w:val="20"/>
        </w:rPr>
        <w:t>доц</w:t>
      </w:r>
      <w:proofErr w:type="gramEnd"/>
      <w:r w:rsidRPr="000E0D06">
        <w:rPr>
          <w:rFonts w:eastAsia="Times New Roman"/>
          <w:color w:val="FFFFFF" w:themeColor="background1"/>
          <w:sz w:val="20"/>
          <w:szCs w:val="20"/>
        </w:rPr>
        <w:t>ільне провести комп-лексне порівняння методик оцінювання бідн</w:t>
      </w:r>
      <w:r w:rsidRPr="000E0D06">
        <w:rPr>
          <w:rFonts w:eastAsia="Times New Roman"/>
          <w:color w:val="FFFFFF" w:themeColor="background1"/>
          <w:sz w:val="20"/>
          <w:szCs w:val="20"/>
        </w:rPr>
        <w:t>ості за різними критеріями, проаналізувати масштаби та тенденції бідності в Україні на їх основі, а також до-слідити дієвість механізмів її подолання.</w:t>
      </w:r>
    </w:p>
    <w:p w:rsidR="00F17EE3" w:rsidRPr="000E0D06" w:rsidRDefault="00F17EE3">
      <w:pPr>
        <w:spacing w:line="2" w:lineRule="exact"/>
        <w:rPr>
          <w:color w:val="FFFFFF" w:themeColor="background1"/>
          <w:sz w:val="20"/>
          <w:szCs w:val="20"/>
        </w:rPr>
      </w:pPr>
    </w:p>
    <w:p w:rsidR="00F17EE3" w:rsidRPr="000E0D06" w:rsidRDefault="000E0D06">
      <w:pPr>
        <w:spacing w:line="252" w:lineRule="auto"/>
        <w:ind w:firstLine="340"/>
        <w:jc w:val="both"/>
        <w:rPr>
          <w:color w:val="FFFFFF" w:themeColor="background1"/>
          <w:sz w:val="20"/>
          <w:szCs w:val="20"/>
        </w:rPr>
      </w:pPr>
      <w:r w:rsidRPr="000E0D06">
        <w:rPr>
          <w:rFonts w:eastAsia="Times New Roman"/>
          <w:color w:val="FFFFFF" w:themeColor="background1"/>
          <w:sz w:val="20"/>
          <w:szCs w:val="20"/>
        </w:rPr>
        <w:t xml:space="preserve">Бідність як </w:t>
      </w:r>
      <w:proofErr w:type="gramStart"/>
      <w:r w:rsidRPr="000E0D06">
        <w:rPr>
          <w:rFonts w:eastAsia="Times New Roman"/>
          <w:color w:val="FFFFFF" w:themeColor="background1"/>
          <w:sz w:val="20"/>
          <w:szCs w:val="20"/>
        </w:rPr>
        <w:t>соц</w:t>
      </w:r>
      <w:proofErr w:type="gramEnd"/>
      <w:r w:rsidRPr="000E0D06">
        <w:rPr>
          <w:rFonts w:eastAsia="Times New Roman"/>
          <w:color w:val="FFFFFF" w:themeColor="background1"/>
          <w:sz w:val="20"/>
          <w:szCs w:val="20"/>
        </w:rPr>
        <w:t>іально-економічне явище прита-манна всім країнам світу незалежно від рівня їх роз-витку (</w:t>
      </w:r>
      <w:r w:rsidRPr="000E0D06">
        <w:rPr>
          <w:rFonts w:eastAsia="Times New Roman"/>
          <w:color w:val="FFFFFF" w:themeColor="background1"/>
          <w:sz w:val="20"/>
          <w:szCs w:val="20"/>
        </w:rPr>
        <w:t>водночас ризик бідності населення у різних</w:t>
      </w:r>
    </w:p>
    <w:p w:rsidR="00F17EE3" w:rsidRDefault="00F17E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5920;visibility:visible;mso-wrap-distance-left:0;mso-wrap-distance-right:0" from="-240.8pt,5.8pt" to="226.9pt,5.8pt" o:allowincell="f" strokeweight="1.5pt"/>
        </w:pict>
      </w:r>
    </w:p>
    <w:p w:rsidR="00F17EE3" w:rsidRDefault="00F17EE3">
      <w:pPr>
        <w:spacing w:line="152" w:lineRule="exact"/>
        <w:rPr>
          <w:sz w:val="20"/>
          <w:szCs w:val="20"/>
        </w:rPr>
      </w:pPr>
    </w:p>
    <w:p w:rsidR="00F17EE3" w:rsidRDefault="00F17EE3">
      <w:pPr>
        <w:sectPr w:rsidR="00F17EE3">
          <w:type w:val="continuous"/>
          <w:pgSz w:w="11620" w:h="16441"/>
          <w:pgMar w:top="645" w:right="962" w:bottom="296" w:left="1300" w:header="0" w:footer="0" w:gutter="0"/>
          <w:cols w:num="2" w:space="720" w:equalWidth="0">
            <w:col w:w="4540" w:space="280"/>
            <w:col w:w="4540"/>
          </w:cols>
        </w:sectPr>
      </w:pPr>
    </w:p>
    <w:p w:rsidR="00F17EE3" w:rsidRDefault="000E0D06">
      <w:pPr>
        <w:tabs>
          <w:tab w:val="left" w:pos="9060"/>
        </w:tabs>
        <w:ind w:left="27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СТАТИСТИКА УКРАЇНИ, 2014, № 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25</w:t>
      </w:r>
    </w:p>
    <w:sectPr w:rsidR="00F17EE3" w:rsidSect="00F17EE3">
      <w:type w:val="continuous"/>
      <w:pgSz w:w="11620" w:h="16441"/>
      <w:pgMar w:top="645" w:right="962" w:bottom="296" w:left="130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9840352C"/>
    <w:lvl w:ilvl="0" w:tplc="5A889DC2">
      <w:start w:val="1"/>
      <w:numFmt w:val="bullet"/>
      <w:lvlText w:val="У"/>
      <w:lvlJc w:val="left"/>
    </w:lvl>
    <w:lvl w:ilvl="1" w:tplc="BD6C4BF6">
      <w:start w:val="25"/>
      <w:numFmt w:val="lowerLetter"/>
      <w:lvlText w:val="%2"/>
      <w:lvlJc w:val="left"/>
    </w:lvl>
    <w:lvl w:ilvl="2" w:tplc="9C48E9BA">
      <w:numFmt w:val="decimal"/>
      <w:lvlText w:val=""/>
      <w:lvlJc w:val="left"/>
    </w:lvl>
    <w:lvl w:ilvl="3" w:tplc="12FE0984">
      <w:numFmt w:val="decimal"/>
      <w:lvlText w:val=""/>
      <w:lvlJc w:val="left"/>
    </w:lvl>
    <w:lvl w:ilvl="4" w:tplc="825EE6D0">
      <w:numFmt w:val="decimal"/>
      <w:lvlText w:val=""/>
      <w:lvlJc w:val="left"/>
    </w:lvl>
    <w:lvl w:ilvl="5" w:tplc="6A5E3204">
      <w:numFmt w:val="decimal"/>
      <w:lvlText w:val=""/>
      <w:lvlJc w:val="left"/>
    </w:lvl>
    <w:lvl w:ilvl="6" w:tplc="0D969F72">
      <w:numFmt w:val="decimal"/>
      <w:lvlText w:val=""/>
      <w:lvlJc w:val="left"/>
    </w:lvl>
    <w:lvl w:ilvl="7" w:tplc="60F044C0">
      <w:numFmt w:val="decimal"/>
      <w:lvlText w:val=""/>
      <w:lvlJc w:val="left"/>
    </w:lvl>
    <w:lvl w:ilvl="8" w:tplc="FBC415F4">
      <w:numFmt w:val="decimal"/>
      <w:lvlText w:val=""/>
      <w:lvlJc w:val="left"/>
    </w:lvl>
  </w:abstractNum>
  <w:abstractNum w:abstractNumId="1">
    <w:nsid w:val="1190CDE7"/>
    <w:multiLevelType w:val="hybridMultilevel"/>
    <w:tmpl w:val="CD1AF6BE"/>
    <w:lvl w:ilvl="0" w:tplc="95FEA0D0">
      <w:start w:val="1"/>
      <w:numFmt w:val="decimal"/>
      <w:lvlText w:val="%1."/>
      <w:lvlJc w:val="left"/>
    </w:lvl>
    <w:lvl w:ilvl="1" w:tplc="F37C87E4">
      <w:numFmt w:val="decimal"/>
      <w:lvlText w:val=""/>
      <w:lvlJc w:val="left"/>
    </w:lvl>
    <w:lvl w:ilvl="2" w:tplc="97260924">
      <w:numFmt w:val="decimal"/>
      <w:lvlText w:val=""/>
      <w:lvlJc w:val="left"/>
    </w:lvl>
    <w:lvl w:ilvl="3" w:tplc="E610A912">
      <w:numFmt w:val="decimal"/>
      <w:lvlText w:val=""/>
      <w:lvlJc w:val="left"/>
    </w:lvl>
    <w:lvl w:ilvl="4" w:tplc="A0543F5C">
      <w:numFmt w:val="decimal"/>
      <w:lvlText w:val=""/>
      <w:lvlJc w:val="left"/>
    </w:lvl>
    <w:lvl w:ilvl="5" w:tplc="FAD8C0A8">
      <w:numFmt w:val="decimal"/>
      <w:lvlText w:val=""/>
      <w:lvlJc w:val="left"/>
    </w:lvl>
    <w:lvl w:ilvl="6" w:tplc="617E8570">
      <w:numFmt w:val="decimal"/>
      <w:lvlText w:val=""/>
      <w:lvlJc w:val="left"/>
    </w:lvl>
    <w:lvl w:ilvl="7" w:tplc="7FCA07AC">
      <w:numFmt w:val="decimal"/>
      <w:lvlText w:val=""/>
      <w:lvlJc w:val="left"/>
    </w:lvl>
    <w:lvl w:ilvl="8" w:tplc="AC829560">
      <w:numFmt w:val="decimal"/>
      <w:lvlText w:val=""/>
      <w:lvlJc w:val="left"/>
    </w:lvl>
  </w:abstractNum>
  <w:abstractNum w:abstractNumId="2">
    <w:nsid w:val="12200854"/>
    <w:multiLevelType w:val="hybridMultilevel"/>
    <w:tmpl w:val="04D25F5A"/>
    <w:lvl w:ilvl="0" w:tplc="96ACC6B0">
      <w:start w:val="1"/>
      <w:numFmt w:val="decimal"/>
      <w:lvlText w:val="%1)"/>
      <w:lvlJc w:val="left"/>
    </w:lvl>
    <w:lvl w:ilvl="1" w:tplc="0C1E37D8">
      <w:numFmt w:val="decimal"/>
      <w:lvlText w:val=""/>
      <w:lvlJc w:val="left"/>
    </w:lvl>
    <w:lvl w:ilvl="2" w:tplc="AA9EF0BA">
      <w:numFmt w:val="decimal"/>
      <w:lvlText w:val=""/>
      <w:lvlJc w:val="left"/>
    </w:lvl>
    <w:lvl w:ilvl="3" w:tplc="A776EA6A">
      <w:numFmt w:val="decimal"/>
      <w:lvlText w:val=""/>
      <w:lvlJc w:val="left"/>
    </w:lvl>
    <w:lvl w:ilvl="4" w:tplc="A4524712">
      <w:numFmt w:val="decimal"/>
      <w:lvlText w:val=""/>
      <w:lvlJc w:val="left"/>
    </w:lvl>
    <w:lvl w:ilvl="5" w:tplc="FDDED2CE">
      <w:numFmt w:val="decimal"/>
      <w:lvlText w:val=""/>
      <w:lvlJc w:val="left"/>
    </w:lvl>
    <w:lvl w:ilvl="6" w:tplc="D676FB42">
      <w:numFmt w:val="decimal"/>
      <w:lvlText w:val=""/>
      <w:lvlJc w:val="left"/>
    </w:lvl>
    <w:lvl w:ilvl="7" w:tplc="B282B304">
      <w:numFmt w:val="decimal"/>
      <w:lvlText w:val=""/>
      <w:lvlJc w:val="left"/>
    </w:lvl>
    <w:lvl w:ilvl="8" w:tplc="16842A48">
      <w:numFmt w:val="decimal"/>
      <w:lvlText w:val=""/>
      <w:lvlJc w:val="left"/>
    </w:lvl>
  </w:abstractNum>
  <w:abstractNum w:abstractNumId="3">
    <w:nsid w:val="140E0F76"/>
    <w:multiLevelType w:val="hybridMultilevel"/>
    <w:tmpl w:val="F6C6C208"/>
    <w:lvl w:ilvl="0" w:tplc="56B27326">
      <w:start w:val="7"/>
      <w:numFmt w:val="decimal"/>
      <w:lvlText w:val="%1."/>
      <w:lvlJc w:val="left"/>
    </w:lvl>
    <w:lvl w:ilvl="1" w:tplc="E6341EB2">
      <w:numFmt w:val="decimal"/>
      <w:lvlText w:val=""/>
      <w:lvlJc w:val="left"/>
    </w:lvl>
    <w:lvl w:ilvl="2" w:tplc="18305890">
      <w:numFmt w:val="decimal"/>
      <w:lvlText w:val=""/>
      <w:lvlJc w:val="left"/>
    </w:lvl>
    <w:lvl w:ilvl="3" w:tplc="0484A898">
      <w:numFmt w:val="decimal"/>
      <w:lvlText w:val=""/>
      <w:lvlJc w:val="left"/>
    </w:lvl>
    <w:lvl w:ilvl="4" w:tplc="77964B08">
      <w:numFmt w:val="decimal"/>
      <w:lvlText w:val=""/>
      <w:lvlJc w:val="left"/>
    </w:lvl>
    <w:lvl w:ilvl="5" w:tplc="D9BCA958">
      <w:numFmt w:val="decimal"/>
      <w:lvlText w:val=""/>
      <w:lvlJc w:val="left"/>
    </w:lvl>
    <w:lvl w:ilvl="6" w:tplc="3B688354">
      <w:numFmt w:val="decimal"/>
      <w:lvlText w:val=""/>
      <w:lvlJc w:val="left"/>
    </w:lvl>
    <w:lvl w:ilvl="7" w:tplc="A8626390">
      <w:numFmt w:val="decimal"/>
      <w:lvlText w:val=""/>
      <w:lvlJc w:val="left"/>
    </w:lvl>
    <w:lvl w:ilvl="8" w:tplc="E7D2204A">
      <w:numFmt w:val="decimal"/>
      <w:lvlText w:val=""/>
      <w:lvlJc w:val="left"/>
    </w:lvl>
  </w:abstractNum>
  <w:abstractNum w:abstractNumId="4">
    <w:nsid w:val="1F16E9E8"/>
    <w:multiLevelType w:val="hybridMultilevel"/>
    <w:tmpl w:val="AD2294C6"/>
    <w:lvl w:ilvl="0" w:tplc="FB6C17DC">
      <w:start w:val="1"/>
      <w:numFmt w:val="bullet"/>
      <w:lvlText w:val="і"/>
      <w:lvlJc w:val="left"/>
    </w:lvl>
    <w:lvl w:ilvl="1" w:tplc="B1522902">
      <w:start w:val="1"/>
      <w:numFmt w:val="bullet"/>
      <w:lvlText w:val="У"/>
      <w:lvlJc w:val="left"/>
    </w:lvl>
    <w:lvl w:ilvl="2" w:tplc="8332912E">
      <w:numFmt w:val="decimal"/>
      <w:lvlText w:val=""/>
      <w:lvlJc w:val="left"/>
    </w:lvl>
    <w:lvl w:ilvl="3" w:tplc="1E62FA5C">
      <w:numFmt w:val="decimal"/>
      <w:lvlText w:val=""/>
      <w:lvlJc w:val="left"/>
    </w:lvl>
    <w:lvl w:ilvl="4" w:tplc="5C50C358">
      <w:numFmt w:val="decimal"/>
      <w:lvlText w:val=""/>
      <w:lvlJc w:val="left"/>
    </w:lvl>
    <w:lvl w:ilvl="5" w:tplc="9C62C25E">
      <w:numFmt w:val="decimal"/>
      <w:lvlText w:val=""/>
      <w:lvlJc w:val="left"/>
    </w:lvl>
    <w:lvl w:ilvl="6" w:tplc="262A6108">
      <w:numFmt w:val="decimal"/>
      <w:lvlText w:val=""/>
      <w:lvlJc w:val="left"/>
    </w:lvl>
    <w:lvl w:ilvl="7" w:tplc="E30C02A6">
      <w:numFmt w:val="decimal"/>
      <w:lvlText w:val=""/>
      <w:lvlJc w:val="left"/>
    </w:lvl>
    <w:lvl w:ilvl="8" w:tplc="06229D30">
      <w:numFmt w:val="decimal"/>
      <w:lvlText w:val=""/>
      <w:lvlJc w:val="left"/>
    </w:lvl>
  </w:abstractNum>
  <w:abstractNum w:abstractNumId="5">
    <w:nsid w:val="3352255A"/>
    <w:multiLevelType w:val="hybridMultilevel"/>
    <w:tmpl w:val="403CC8A0"/>
    <w:lvl w:ilvl="0" w:tplc="4B5A5010">
      <w:start w:val="1"/>
      <w:numFmt w:val="bullet"/>
      <w:lvlText w:val="В"/>
      <w:lvlJc w:val="left"/>
    </w:lvl>
    <w:lvl w:ilvl="1" w:tplc="F6BAE28C">
      <w:numFmt w:val="decimal"/>
      <w:lvlText w:val=""/>
      <w:lvlJc w:val="left"/>
    </w:lvl>
    <w:lvl w:ilvl="2" w:tplc="BD12D288">
      <w:numFmt w:val="decimal"/>
      <w:lvlText w:val=""/>
      <w:lvlJc w:val="left"/>
    </w:lvl>
    <w:lvl w:ilvl="3" w:tplc="429CCF04">
      <w:numFmt w:val="decimal"/>
      <w:lvlText w:val=""/>
      <w:lvlJc w:val="left"/>
    </w:lvl>
    <w:lvl w:ilvl="4" w:tplc="4ACE5584">
      <w:numFmt w:val="decimal"/>
      <w:lvlText w:val=""/>
      <w:lvlJc w:val="left"/>
    </w:lvl>
    <w:lvl w:ilvl="5" w:tplc="FA54F2FE">
      <w:numFmt w:val="decimal"/>
      <w:lvlText w:val=""/>
      <w:lvlJc w:val="left"/>
    </w:lvl>
    <w:lvl w:ilvl="6" w:tplc="C15ED0F6">
      <w:numFmt w:val="decimal"/>
      <w:lvlText w:val=""/>
      <w:lvlJc w:val="left"/>
    </w:lvl>
    <w:lvl w:ilvl="7" w:tplc="2C40FEE6">
      <w:numFmt w:val="decimal"/>
      <w:lvlText w:val=""/>
      <w:lvlJc w:val="left"/>
    </w:lvl>
    <w:lvl w:ilvl="8" w:tplc="44C46192">
      <w:numFmt w:val="decimal"/>
      <w:lvlText w:val=""/>
      <w:lvlJc w:val="left"/>
    </w:lvl>
  </w:abstractNum>
  <w:abstractNum w:abstractNumId="6">
    <w:nsid w:val="41B71EFB"/>
    <w:multiLevelType w:val="hybridMultilevel"/>
    <w:tmpl w:val="DB18C23A"/>
    <w:lvl w:ilvl="0" w:tplc="B8066A98">
      <w:start w:val="1"/>
      <w:numFmt w:val="decimal"/>
      <w:lvlText w:val="%1."/>
      <w:lvlJc w:val="left"/>
    </w:lvl>
    <w:lvl w:ilvl="1" w:tplc="AA620B20">
      <w:numFmt w:val="decimal"/>
      <w:lvlText w:val=""/>
      <w:lvlJc w:val="left"/>
    </w:lvl>
    <w:lvl w:ilvl="2" w:tplc="48D8FDB4">
      <w:numFmt w:val="decimal"/>
      <w:lvlText w:val=""/>
      <w:lvlJc w:val="left"/>
    </w:lvl>
    <w:lvl w:ilvl="3" w:tplc="8A66F1E4">
      <w:numFmt w:val="decimal"/>
      <w:lvlText w:val=""/>
      <w:lvlJc w:val="left"/>
    </w:lvl>
    <w:lvl w:ilvl="4" w:tplc="63B4622A">
      <w:numFmt w:val="decimal"/>
      <w:lvlText w:val=""/>
      <w:lvlJc w:val="left"/>
    </w:lvl>
    <w:lvl w:ilvl="5" w:tplc="56209712">
      <w:numFmt w:val="decimal"/>
      <w:lvlText w:val=""/>
      <w:lvlJc w:val="left"/>
    </w:lvl>
    <w:lvl w:ilvl="6" w:tplc="2A264AD6">
      <w:numFmt w:val="decimal"/>
      <w:lvlText w:val=""/>
      <w:lvlJc w:val="left"/>
    </w:lvl>
    <w:lvl w:ilvl="7" w:tplc="4D52D85C">
      <w:numFmt w:val="decimal"/>
      <w:lvlText w:val=""/>
      <w:lvlJc w:val="left"/>
    </w:lvl>
    <w:lvl w:ilvl="8" w:tplc="B862F68C">
      <w:numFmt w:val="decimal"/>
      <w:lvlText w:val=""/>
      <w:lvlJc w:val="left"/>
    </w:lvl>
  </w:abstractNum>
  <w:abstractNum w:abstractNumId="7">
    <w:nsid w:val="4DB127F8"/>
    <w:multiLevelType w:val="hybridMultilevel"/>
    <w:tmpl w:val="66A4175C"/>
    <w:lvl w:ilvl="0" w:tplc="882CA902">
      <w:start w:val="1"/>
      <w:numFmt w:val="bullet"/>
      <w:lvlText w:val="У"/>
      <w:lvlJc w:val="left"/>
    </w:lvl>
    <w:lvl w:ilvl="1" w:tplc="40F8C3FA">
      <w:numFmt w:val="decimal"/>
      <w:lvlText w:val=""/>
      <w:lvlJc w:val="left"/>
    </w:lvl>
    <w:lvl w:ilvl="2" w:tplc="D67C0B54">
      <w:numFmt w:val="decimal"/>
      <w:lvlText w:val=""/>
      <w:lvlJc w:val="left"/>
    </w:lvl>
    <w:lvl w:ilvl="3" w:tplc="17A2F61C">
      <w:numFmt w:val="decimal"/>
      <w:lvlText w:val=""/>
      <w:lvlJc w:val="left"/>
    </w:lvl>
    <w:lvl w:ilvl="4" w:tplc="262A9B36">
      <w:numFmt w:val="decimal"/>
      <w:lvlText w:val=""/>
      <w:lvlJc w:val="left"/>
    </w:lvl>
    <w:lvl w:ilvl="5" w:tplc="EC84370A">
      <w:numFmt w:val="decimal"/>
      <w:lvlText w:val=""/>
      <w:lvlJc w:val="left"/>
    </w:lvl>
    <w:lvl w:ilvl="6" w:tplc="DF88011A">
      <w:numFmt w:val="decimal"/>
      <w:lvlText w:val=""/>
      <w:lvlJc w:val="left"/>
    </w:lvl>
    <w:lvl w:ilvl="7" w:tplc="92DC6800">
      <w:numFmt w:val="decimal"/>
      <w:lvlText w:val=""/>
      <w:lvlJc w:val="left"/>
    </w:lvl>
    <w:lvl w:ilvl="8" w:tplc="41B66024">
      <w:numFmt w:val="decimal"/>
      <w:lvlText w:val=""/>
      <w:lvlJc w:val="left"/>
    </w:lvl>
  </w:abstractNum>
  <w:abstractNum w:abstractNumId="8">
    <w:nsid w:val="515F007C"/>
    <w:multiLevelType w:val="hybridMultilevel"/>
    <w:tmpl w:val="DB9A5370"/>
    <w:lvl w:ilvl="0" w:tplc="5EE27492">
      <w:start w:val="1"/>
      <w:numFmt w:val="bullet"/>
      <w:lvlText w:val="в"/>
      <w:lvlJc w:val="left"/>
    </w:lvl>
    <w:lvl w:ilvl="1" w:tplc="72D6043A">
      <w:start w:val="1"/>
      <w:numFmt w:val="bullet"/>
      <w:lvlText w:val="У"/>
      <w:lvlJc w:val="left"/>
    </w:lvl>
    <w:lvl w:ilvl="2" w:tplc="9F5E4F2A">
      <w:numFmt w:val="decimal"/>
      <w:lvlText w:val=""/>
      <w:lvlJc w:val="left"/>
    </w:lvl>
    <w:lvl w:ilvl="3" w:tplc="57CC960E">
      <w:numFmt w:val="decimal"/>
      <w:lvlText w:val=""/>
      <w:lvlJc w:val="left"/>
    </w:lvl>
    <w:lvl w:ilvl="4" w:tplc="2B7EEDA2">
      <w:numFmt w:val="decimal"/>
      <w:lvlText w:val=""/>
      <w:lvlJc w:val="left"/>
    </w:lvl>
    <w:lvl w:ilvl="5" w:tplc="0A4C4E76">
      <w:numFmt w:val="decimal"/>
      <w:lvlText w:val=""/>
      <w:lvlJc w:val="left"/>
    </w:lvl>
    <w:lvl w:ilvl="6" w:tplc="8B0A7B86">
      <w:numFmt w:val="decimal"/>
      <w:lvlText w:val=""/>
      <w:lvlJc w:val="left"/>
    </w:lvl>
    <w:lvl w:ilvl="7" w:tplc="66AA179C">
      <w:numFmt w:val="decimal"/>
      <w:lvlText w:val=""/>
      <w:lvlJc w:val="left"/>
    </w:lvl>
    <w:lvl w:ilvl="8" w:tplc="06A68A24">
      <w:numFmt w:val="decimal"/>
      <w:lvlText w:val=""/>
      <w:lvlJc w:val="left"/>
    </w:lvl>
  </w:abstractNum>
  <w:abstractNum w:abstractNumId="9">
    <w:nsid w:val="5BD062C2"/>
    <w:multiLevelType w:val="hybridMultilevel"/>
    <w:tmpl w:val="FB48B418"/>
    <w:lvl w:ilvl="0" w:tplc="8B407E46">
      <w:start w:val="1"/>
      <w:numFmt w:val="bullet"/>
      <w:lvlText w:val="•"/>
      <w:lvlJc w:val="left"/>
    </w:lvl>
    <w:lvl w:ilvl="1" w:tplc="C2501F82">
      <w:numFmt w:val="decimal"/>
      <w:lvlText w:val=""/>
      <w:lvlJc w:val="left"/>
    </w:lvl>
    <w:lvl w:ilvl="2" w:tplc="146A8A86">
      <w:numFmt w:val="decimal"/>
      <w:lvlText w:val=""/>
      <w:lvlJc w:val="left"/>
    </w:lvl>
    <w:lvl w:ilvl="3" w:tplc="D97E68FC">
      <w:numFmt w:val="decimal"/>
      <w:lvlText w:val=""/>
      <w:lvlJc w:val="left"/>
    </w:lvl>
    <w:lvl w:ilvl="4" w:tplc="028E7A22">
      <w:numFmt w:val="decimal"/>
      <w:lvlText w:val=""/>
      <w:lvlJc w:val="left"/>
    </w:lvl>
    <w:lvl w:ilvl="5" w:tplc="CA90AEDA">
      <w:numFmt w:val="decimal"/>
      <w:lvlText w:val=""/>
      <w:lvlJc w:val="left"/>
    </w:lvl>
    <w:lvl w:ilvl="6" w:tplc="7F8484D2">
      <w:numFmt w:val="decimal"/>
      <w:lvlText w:val=""/>
      <w:lvlJc w:val="left"/>
    </w:lvl>
    <w:lvl w:ilvl="7" w:tplc="12DCC16C">
      <w:numFmt w:val="decimal"/>
      <w:lvlText w:val=""/>
      <w:lvlJc w:val="left"/>
    </w:lvl>
    <w:lvl w:ilvl="8" w:tplc="FCE8E4FA">
      <w:numFmt w:val="decimal"/>
      <w:lvlText w:val=""/>
      <w:lvlJc w:val="left"/>
    </w:lvl>
  </w:abstractNum>
  <w:abstractNum w:abstractNumId="10">
    <w:nsid w:val="66EF438D"/>
    <w:multiLevelType w:val="hybridMultilevel"/>
    <w:tmpl w:val="F1144438"/>
    <w:lvl w:ilvl="0" w:tplc="748EE3D6">
      <w:start w:val="5"/>
      <w:numFmt w:val="decimal"/>
      <w:lvlText w:val="%1."/>
      <w:lvlJc w:val="left"/>
    </w:lvl>
    <w:lvl w:ilvl="1" w:tplc="42C4A3DA">
      <w:numFmt w:val="decimal"/>
      <w:lvlText w:val=""/>
      <w:lvlJc w:val="left"/>
    </w:lvl>
    <w:lvl w:ilvl="2" w:tplc="515E162C">
      <w:numFmt w:val="decimal"/>
      <w:lvlText w:val=""/>
      <w:lvlJc w:val="left"/>
    </w:lvl>
    <w:lvl w:ilvl="3" w:tplc="18EEDD48">
      <w:numFmt w:val="decimal"/>
      <w:lvlText w:val=""/>
      <w:lvlJc w:val="left"/>
    </w:lvl>
    <w:lvl w:ilvl="4" w:tplc="D37E2A26">
      <w:numFmt w:val="decimal"/>
      <w:lvlText w:val=""/>
      <w:lvlJc w:val="left"/>
    </w:lvl>
    <w:lvl w:ilvl="5" w:tplc="68504D0A">
      <w:numFmt w:val="decimal"/>
      <w:lvlText w:val=""/>
      <w:lvlJc w:val="left"/>
    </w:lvl>
    <w:lvl w:ilvl="6" w:tplc="E03E45C0">
      <w:numFmt w:val="decimal"/>
      <w:lvlText w:val=""/>
      <w:lvlJc w:val="left"/>
    </w:lvl>
    <w:lvl w:ilvl="7" w:tplc="39664D4A">
      <w:numFmt w:val="decimal"/>
      <w:lvlText w:val=""/>
      <w:lvlJc w:val="left"/>
    </w:lvl>
    <w:lvl w:ilvl="8" w:tplc="8CBA2132">
      <w:numFmt w:val="decimal"/>
      <w:lvlText w:val=""/>
      <w:lvlJc w:val="left"/>
    </w:lvl>
  </w:abstractNum>
  <w:abstractNum w:abstractNumId="11">
    <w:nsid w:val="7545E146"/>
    <w:multiLevelType w:val="hybridMultilevel"/>
    <w:tmpl w:val="A68CB708"/>
    <w:lvl w:ilvl="0" w:tplc="1AEE984A">
      <w:start w:val="1"/>
      <w:numFmt w:val="bullet"/>
      <w:lvlText w:val="є"/>
      <w:lvlJc w:val="left"/>
    </w:lvl>
    <w:lvl w:ilvl="1" w:tplc="CBBA3594">
      <w:numFmt w:val="decimal"/>
      <w:lvlText w:val=""/>
      <w:lvlJc w:val="left"/>
    </w:lvl>
    <w:lvl w:ilvl="2" w:tplc="EB76A612">
      <w:numFmt w:val="decimal"/>
      <w:lvlText w:val=""/>
      <w:lvlJc w:val="left"/>
    </w:lvl>
    <w:lvl w:ilvl="3" w:tplc="A4E692F0">
      <w:numFmt w:val="decimal"/>
      <w:lvlText w:val=""/>
      <w:lvlJc w:val="left"/>
    </w:lvl>
    <w:lvl w:ilvl="4" w:tplc="AF26CA66">
      <w:numFmt w:val="decimal"/>
      <w:lvlText w:val=""/>
      <w:lvlJc w:val="left"/>
    </w:lvl>
    <w:lvl w:ilvl="5" w:tplc="35E294D6">
      <w:numFmt w:val="decimal"/>
      <w:lvlText w:val=""/>
      <w:lvlJc w:val="left"/>
    </w:lvl>
    <w:lvl w:ilvl="6" w:tplc="597E93F0">
      <w:numFmt w:val="decimal"/>
      <w:lvlText w:val=""/>
      <w:lvlJc w:val="left"/>
    </w:lvl>
    <w:lvl w:ilvl="7" w:tplc="E61C6342">
      <w:numFmt w:val="decimal"/>
      <w:lvlText w:val=""/>
      <w:lvlJc w:val="left"/>
    </w:lvl>
    <w:lvl w:ilvl="8" w:tplc="3C363718">
      <w:numFmt w:val="decimal"/>
      <w:lvlText w:val=""/>
      <w:lvlJc w:val="left"/>
    </w:lvl>
  </w:abstractNum>
  <w:abstractNum w:abstractNumId="12">
    <w:nsid w:val="79E2A9E3"/>
    <w:multiLevelType w:val="hybridMultilevel"/>
    <w:tmpl w:val="DB5C059C"/>
    <w:lvl w:ilvl="0" w:tplc="6BB68F38">
      <w:start w:val="1"/>
      <w:numFmt w:val="bullet"/>
      <w:lvlText w:val="У"/>
      <w:lvlJc w:val="left"/>
    </w:lvl>
    <w:lvl w:ilvl="1" w:tplc="03B21BBC">
      <w:numFmt w:val="decimal"/>
      <w:lvlText w:val=""/>
      <w:lvlJc w:val="left"/>
    </w:lvl>
    <w:lvl w:ilvl="2" w:tplc="5C406156">
      <w:numFmt w:val="decimal"/>
      <w:lvlText w:val=""/>
      <w:lvlJc w:val="left"/>
    </w:lvl>
    <w:lvl w:ilvl="3" w:tplc="97147AD0">
      <w:numFmt w:val="decimal"/>
      <w:lvlText w:val=""/>
      <w:lvlJc w:val="left"/>
    </w:lvl>
    <w:lvl w:ilvl="4" w:tplc="E34ECEF6">
      <w:numFmt w:val="decimal"/>
      <w:lvlText w:val=""/>
      <w:lvlJc w:val="left"/>
    </w:lvl>
    <w:lvl w:ilvl="5" w:tplc="6B1691BC">
      <w:numFmt w:val="decimal"/>
      <w:lvlText w:val=""/>
      <w:lvlJc w:val="left"/>
    </w:lvl>
    <w:lvl w:ilvl="6" w:tplc="5E706AD2">
      <w:numFmt w:val="decimal"/>
      <w:lvlText w:val=""/>
      <w:lvlJc w:val="left"/>
    </w:lvl>
    <w:lvl w:ilvl="7" w:tplc="9B3CE3BA">
      <w:numFmt w:val="decimal"/>
      <w:lvlText w:val=""/>
      <w:lvlJc w:val="left"/>
    </w:lvl>
    <w:lvl w:ilvl="8" w:tplc="10D4E084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7EE3"/>
    <w:rsid w:val="000E0D06"/>
    <w:rsid w:val="00F1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BF65B-C041-4803-B17B-D8FADE87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</cp:revision>
  <dcterms:created xsi:type="dcterms:W3CDTF">2020-03-22T11:53:00Z</dcterms:created>
  <dcterms:modified xsi:type="dcterms:W3CDTF">2020-03-22T11:03:00Z</dcterms:modified>
</cp:coreProperties>
</file>